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8.png" ContentType="image/png"/>
  <Override PartName="/word/media/rId52.png" ContentType="image/png"/>
  <Override PartName="/word/media/rId37.png" ContentType="image/png"/>
  <Override PartName="/word/media/rId33.png" ContentType="image/png"/>
  <Override PartName="/word/media/rId24.png" ContentType="image/png"/>
  <Override PartName="/word/media/rId45.png" ContentType="image/png"/>
  <Override PartName="/word/media/rId75.png" ContentType="image/png"/>
  <Override PartName="/word/media/rId67.png" ContentType="image/png"/>
  <Override PartName="/word/media/rId62.png" ContentType="image/png"/>
  <Override PartName="/word/media/rId90.jpg" ContentType="image/jpeg"/>
  <Override PartName="/word/media/rId94.jpg" ContentType="image/jpeg"/>
  <Override PartName="/word/media/rId99.jpg" ContentType="image/jpeg"/>
  <Override PartName="/word/media/rId108.jpg" ContentType="image/jpeg"/>
  <Override PartName="/word/media/rId113.jpg" ContentType="image/jpeg"/>
  <Override PartName="/word/media/rId118.jpg" ContentType="image/jpeg"/>
  <Override PartName="/word/media/rId126.jpg" ContentType="image/jpeg"/>
  <Override PartName="/word/media/rId130.jpg" ContentType="image/jpeg"/>
  <Override PartName="/word/media/rId135.jpg" ContentType="image/jpeg"/>
  <Override PartName="/word/media/rId86.png" ContentType="image/png"/>
  <Override PartName="/word/media/rId122.png" ContentType="image/png"/>
  <Override PartName="/word/media/rId142.png" ContentType="image/png"/>
  <Override PartName="/word/media/rId153.png" ContentType="image/png"/>
  <Override PartName="/word/media/rId215.png" ContentType="image/png"/>
  <Override PartName="/word/media/rId220.png" ContentType="image/png"/>
  <Override PartName="/word/media/rId225.png" ContentType="image/png"/>
  <Override PartName="/word/media/rId231.png" ContentType="image/png"/>
  <Override PartName="/word/media/rId235.png" ContentType="image/png"/>
  <Override PartName="/word/media/rId163.png" ContentType="image/png"/>
  <Override PartName="/word/media/rId170.png" ContentType="image/png"/>
  <Override PartName="/word/media/rId188.png" ContentType="image/png"/>
  <Override PartName="/word/media/rId193.png" ContentType="image/png"/>
  <Override PartName="/word/media/rId197.png" ContentType="image/png"/>
  <Override PartName="/word/media/rId201.png" ContentType="image/png"/>
  <Override PartName="/word/media/rId205.png" ContentType="image/png"/>
  <Override PartName="/word/media/rId210.png" ContentType="image/png"/>
  <Override PartName="/word/media/rId158.png" ContentType="image/png"/>
  <Override PartName="/word/media/rId17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84" w:name="introduction-overview"/>
    <w:p>
      <w:pPr>
        <w:pStyle w:val="Heading1"/>
      </w:pPr>
      <w:r>
        <w:t xml:space="preserve">1. Introduction &amp; Overview</w:t>
      </w:r>
    </w:p>
    <w:bookmarkStart w:id="51"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 Effective management and sustainable practices are crucial to preserving their ecological integrity and ensuring long-term viability.</w:t>
      </w:r>
    </w:p>
    <w:p>
      <w:pPr>
        <w:pStyle w:val="BodyText"/>
      </w:pPr>
      <w:r>
        <w:t xml:space="preserve">Marine vegetative habitats in intertidal zones that are exposed at low tide (such as seagrass meadows, microphytobenthos, and macroalgae) are significantly impacted by human activities. Seagrass meadows are under threat due to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be reduced due to the expansion of wild oysters</w:t>
      </w:r>
      <w:r>
        <w:t xml:space="preserve"> </w:t>
      </w:r>
      <w:r>
        <w:t xml:space="preserve">(Le Bris et al., 2016)</w:t>
      </w:r>
      <w:r>
        <w:t xml:space="preserve">.</w:t>
      </w:r>
    </w:p>
    <w:p>
      <w:pPr>
        <w:pStyle w:val="BodyText"/>
      </w:pPr>
      <w:r>
        <w:t xml:space="preserve">These habitats provide vital ecological functions, including coastal erosion protection through root stabilization and sediment trapping (</w:t>
      </w:r>
      <w:r>
        <w:rPr>
          <w:b/>
          <w:bCs/>
        </w:rPr>
        <w:t xml:space="preserve">refs</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 (</w:t>
      </w:r>
      <w:r>
        <w:rPr>
          <w:b/>
          <w:bCs/>
        </w:rPr>
        <w:t xml:space="preserve">refs</w:t>
      </w:r>
      <w:r>
        <w:t xml:space="preserve">), serving as biodiversity hotspots that support unique flora and fauna, providing feeding, breeding, and nursery grounds for various species. Despite their ecological significance, intertidal zones, particularly mudflats, are challenging to access, and traditional field sampling methods are too time- and labor-intensive to allow repeated observations over large areas. This limitation underscores the need for advanced monitoring technologies to better assess and protect these habitats.</w:t>
      </w:r>
    </w:p>
    <w:p>
      <w:pPr>
        <w:pStyle w:val="BodyText"/>
      </w:pPr>
      <w:r>
        <w:t xml:space="preserve">Intertidal habitats, at the interface between marine and terrestrial ecosystems, face significant pressures from both anthropogenic activities and natural forces affecting both realms. Human-induced threats include coastal development, pollution, overfishing, and habitat modification, which degrade these ecosystems and diminish the valuable ecosystem services they provide. Meanwhile, natural factors such as storms, sea-level rise, climatic extreme events and climate change exacerbate these pressures, altering the structure function, and resilience of intertidal habitats. Despite their ecological importance in supporting biodiversity, providing coastal protection, and contributing to nutrient cycling, intertidal habitats remain highly vulnerable. Addressing these challenges requires robust management practices, targeted conservation strategies, and ongoing monitoring to ensure their sustainability and resilience against future pressures.</w:t>
      </w:r>
    </w:p>
    <w:bookmarkStart w:id="28"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by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27" w:name="fig-CoastalHabitat"/>
          <w:p>
            <w:pPr>
              <w:pStyle w:val="Compact"/>
              <w:jc w:val="center"/>
            </w:pPr>
            <w:r>
              <w:drawing>
                <wp:inline>
                  <wp:extent cx="5884164" cy="4413123"/>
                  <wp:effectExtent b="0" l="0" r="0" t="0"/>
                  <wp:docPr descr="" title="" id="25" name="Picture"/>
                  <a:graphic>
                    <a:graphicData uri="http://schemas.openxmlformats.org/drawingml/2006/picture">
                      <pic:pic>
                        <pic:nvPicPr>
                          <pic:cNvPr descr="Chapter1/Figs/Picture_habitat/CoastalHabitats_Lowres.png" id="26" name="Picture"/>
                          <pic:cNvPicPr>
                            <a:picLocks noChangeArrowheads="1" noChangeAspect="1"/>
                          </pic:cNvPicPr>
                        </pic:nvPicPr>
                        <pic:blipFill>
                          <a:blip r:embed="rId24"/>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27"/>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28"/>
    <w:bookmarkStart w:id="32"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29">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30">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tonnes, with aquaculture alone producing an unprecedented 130.9 million tonnes. Notably, for the first time, aquaculture surpassed wild capture in aquatic animal production, accounting for 51% of the total. Additionally,</w:t>
      </w:r>
      <w:r>
        <w:t xml:space="preserve"> </w:t>
      </w:r>
      <w:hyperlink r:id="rId31">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w:t>
      </w:r>
      <w:r>
        <w:t xml:space="preserve"> </w:t>
      </w:r>
      <w:r>
        <w:t xml:space="preserve">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w:t>
      </w:r>
      <w:r>
        <w:t xml:space="preserve"> </w:t>
      </w:r>
      <w:r>
        <w:t xml:space="preserve">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necessitates the conversion of coastal wetlands, particularly mangroves, into fish or shrimp ponds. This land-use change reduces the availability of essential nursery habitats for marine species and diminishes the ecosystem services provided by mangroves,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32"/>
    <w:bookmarkStart w:id="50"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timeserie from 1984 to 2016 have shown that tidal flats have declined by approximately 16% over this period,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TidalFlats"/>
          <w:p>
            <w:pPr>
              <w:pStyle w:val="Compact"/>
              <w:jc w:val="center"/>
            </w:pPr>
            <w:r>
              <w:drawing>
                <wp:inline>
                  <wp:extent cx="4754880" cy="3556397"/>
                  <wp:effectExtent b="0" l="0" r="0" t="0"/>
                  <wp:docPr descr="" title="" id="34" name="Picture"/>
                  <a:graphic>
                    <a:graphicData uri="http://schemas.openxmlformats.org/drawingml/2006/picture">
                      <pic:pic>
                        <pic:nvPicPr>
                          <pic:cNvPr descr="Chapter1/Figs/Murray_Tidalflats.png" id="35" name="Picture"/>
                          <pic:cNvPicPr>
                            <a:picLocks noChangeArrowheads="1" noChangeAspect="1"/>
                          </pic:cNvPicPr>
                        </pic:nvPicPr>
                        <pic:blipFill>
                          <a:blip r:embed="rId33"/>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36"/>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bookmarkStart w:id="41" w:name="X57afbca97e10b713a177f4d5f1d3aa412cb80c0"/>
    <w:p>
      <w:pPr>
        <w:pStyle w:val="Heading4"/>
      </w:pPr>
      <w:r>
        <w:t xml:space="preserve">1.1.3.1 Bacillariophyceae, Euglenida and Cyanophyceae</w:t>
      </w:r>
    </w:p>
    <w:p>
      <w:pPr>
        <w:pStyle w:val="FirstParagraph"/>
      </w:pPr>
      <w:r>
        <w:t xml:space="preserve">Within estuarine biological communities, the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40" w:name="fig-MPBpictures"/>
          <w:p>
            <w:pPr>
              <w:pStyle w:val="Compact"/>
              <w:jc w:val="center"/>
            </w:pPr>
            <w:r>
              <w:drawing>
                <wp:inline>
                  <wp:extent cx="5943600" cy="2359609"/>
                  <wp:effectExtent b="0" l="0" r="0" t="0"/>
                  <wp:docPr descr="" title="" id="38" name="Picture"/>
                  <a:graphic>
                    <a:graphicData uri="http://schemas.openxmlformats.org/drawingml/2006/picture">
                      <pic:pic>
                        <pic:nvPicPr>
                          <pic:cNvPr descr="Chapter1/Figs/MPB/MPB_pictures.png" id="39" name="Picture"/>
                          <pic:cNvPicPr>
                            <a:picLocks noChangeArrowheads="1" noChangeAspect="1"/>
                          </pic:cNvPicPr>
                        </pic:nvPicPr>
                        <pic:blipFill>
                          <a:blip r:embed="rId37"/>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40"/>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The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the MPB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41"/>
    <w:bookmarkStart w:id="42"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their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the displacement of other important species</w:t>
      </w:r>
      <w:r>
        <w:t xml:space="preserve"> </w:t>
      </w:r>
      <w:r>
        <w:t xml:space="preserve">(Schreyers et al., 2021a; Sun et al., 2022)</w:t>
      </w:r>
      <w:r>
        <w:t xml:space="preserve">.</w:t>
      </w:r>
    </w:p>
    <w:bookmarkEnd w:id="42"/>
    <w:bookmarkStart w:id="43"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43"/>
    <w:bookmarkStart w:id="44"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p>
    <w:p>
      <w:pPr>
        <w:pStyle w:val="BodyText"/>
      </w:pP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44"/>
    <w:bookmarkStart w:id="49"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w:t>
      </w:r>
      <w:r>
        <w:t xml:space="preserve"> </w:t>
      </w:r>
      <w:r>
        <w:t xml:space="preserve">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pPr>
        <w:pStyle w:val="BodyText"/>
      </w:pPr>
      <w:r>
        <w:t xml:space="preserve">Seagrass meadows, much like tidal flats, are undergoing significant declines on a global scale due to a variety of anthropogenic and natural stressors.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48" w:name="fig-SeagrassHabitat"/>
          <w:p>
            <w:pPr>
              <w:pStyle w:val="Compact"/>
              <w:jc w:val="center"/>
            </w:pPr>
            <w:r>
              <w:drawing>
                <wp:inline>
                  <wp:extent cx="5943600" cy="7991317"/>
                  <wp:effectExtent b="0" l="0" r="0" t="0"/>
                  <wp:docPr descr="" title="" id="46" name="Picture"/>
                  <a:graphic>
                    <a:graphicData uri="http://schemas.openxmlformats.org/drawingml/2006/picture">
                      <pic:pic>
                        <pic:nvPicPr>
                          <pic:cNvPr descr="Chapter1/Figs/Publication_habitat/Seagrass_habitats.png" id="47" name="Picture"/>
                          <pic:cNvPicPr>
                            <a:picLocks noChangeArrowheads="1" noChangeAspect="1"/>
                          </pic:cNvPicPr>
                        </pic:nvPicPr>
                        <pic:blipFill>
                          <a:blip r:embed="rId45"/>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Edited from</w:t>
            </w:r>
            <w:r>
              <w:t xml:space="preserve"> </w:t>
            </w:r>
            <w:r>
              <w:t xml:space="preserve">R. K. Unsworth et al. (2019)</w:t>
            </w:r>
            <w:r>
              <w:t xml:space="preserve">.</w:t>
            </w:r>
          </w:p>
          <w:bookmarkEnd w:id="48"/>
        </w:tc>
      </w:tr>
    </w:tbl>
    <w:p>
      <w:r>
        <w:br w:type="page"/>
      </w:r>
    </w:p>
    <w:bookmarkEnd w:id="49"/>
    <w:bookmarkEnd w:id="50"/>
    <w:bookmarkEnd w:id="51"/>
    <w:bookmarkStart w:id="82" w:name="concepts-of-remote-sensing"/>
    <w:p>
      <w:pPr>
        <w:pStyle w:val="Heading2"/>
      </w:pPr>
      <w:r>
        <w:t xml:space="preserve">1.2 Concepts of Remote sensing</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has been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bookmarkStart w:id="56" w:name="X1004611164fc8944b1a2e5c037f5b94a65abf23"/>
    <w:p>
      <w:pPr>
        <w:pStyle w:val="Heading3"/>
      </w:pPr>
      <w:r>
        <w:t xml:space="preserve">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direclty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55" w:name="fig-LIDAR"/>
          <w:p>
            <w:pPr>
              <w:pStyle w:val="Compact"/>
              <w:jc w:val="center"/>
            </w:pPr>
            <w:r>
              <w:drawing>
                <wp:inline>
                  <wp:extent cx="4160520" cy="4147803"/>
                  <wp:effectExtent b="0" l="0" r="0" t="0"/>
                  <wp:docPr descr="" title="" id="53" name="Picture"/>
                  <a:graphic>
                    <a:graphicData uri="http://schemas.openxmlformats.org/drawingml/2006/picture">
                      <pic:pic>
                        <pic:nvPicPr>
                          <pic:cNvPr descr="Chapter1/Figs/LIDAR.png" id="54" name="Picture"/>
                          <pic:cNvPicPr>
                            <a:picLocks noChangeArrowheads="1" noChangeAspect="1"/>
                          </pic:cNvPicPr>
                        </pic:nvPicPr>
                        <pic:blipFill>
                          <a:blip r:embed="rId52"/>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emited beams of a LIDAR system. adapted from</w:t>
            </w:r>
          </w:p>
          <w:bookmarkEnd w:id="55"/>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of the critical steps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 less power, making it generally more affordable and compact. These attributes allow topographic LiDAR systems to be easily mounted on drone platforms, offering greater flexibility and accessibility for coastal monitoring. In contrast, bathymetric LiDAR, utilizing green wavelengths (~532 nm),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provides a high-resolution bathymetric and topographic map in coastal areas, created using LiDAR technologies. During airborne missions, the system captures terrestrial and submerged terrain features with exceptional precision. The topographic LiDAR achieves spatial resolution of 1 meter, with vertical accuracy up to 20 centimeters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is focuses on intertidal environement mapping, field campaigns are conducted during low tide to ensure optimal conditions for the effective use of NIR LiDAR providing unobstructed access to exposed intertidal zones.</w:t>
      </w:r>
    </w:p>
    <w:bookmarkEnd w:id="56"/>
    <w:bookmarkStart w:id="80"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the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at specific wavelength. These interactions include scattering, absorption, and refraction. Scattering occurs when atmospheric molecules and aerosols disperse light in different directions, with shorter wavelengths like blue light being more strongly affected. Absorption result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definied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w:t>
      </w:r>
      <w:r>
        <w:t xml:space="preserve">however is dimensionless.</w:t>
      </w:r>
    </w:p>
    <w:p>
      <w:pPr>
        <w:pStyle w:val="BodyText"/>
      </w:pPr>
      <w:bookmarkStart w:id="57"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57"/>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61" w:name="fig-FigLightPath"/>
          <w:p>
            <w:pPr>
              <w:pStyle w:val="Compact"/>
              <w:jc w:val="center"/>
            </w:pPr>
            <w:r>
              <w:drawing>
                <wp:inline>
                  <wp:extent cx="5349240" cy="4260589"/>
                  <wp:effectExtent b="0" l="0" r="0" t="0"/>
                  <wp:docPr descr="" title="" id="59" name="Picture"/>
                  <a:graphic>
                    <a:graphicData uri="http://schemas.openxmlformats.org/drawingml/2006/picture">
                      <pic:pic>
                        <pic:nvPicPr>
                          <pic:cNvPr descr="Chapter1/Figs/FigLightPath.png" id="60" name="Picture"/>
                          <pic:cNvPicPr>
                            <a:picLocks noChangeArrowheads="1" noChangeAspect="1"/>
                          </pic:cNvPicPr>
                        </pic:nvPicPr>
                        <pic:blipFill>
                          <a:blip r:embed="rId58"/>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61"/>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tragets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remote sensing applications. By analyzing spectral signatures, its possible to identify and classify surface types, as well as derive insights into environmental changes and land-use dynamics. For example, Chlorophyll-a (Chla), a pigment found in all vegetation, plays a key role in defining the spectral signature of plant life. Chla absorbs light in specific regions of the electromagnetic spectrum, particularly in the blue region around 440 nm and the red region near 675 nm. Consequently, healty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Spectral_signature"/>
          <w:p>
            <w:pPr>
              <w:pStyle w:val="Compact"/>
              <w:jc w:val="center"/>
            </w:pPr>
            <w:r>
              <w:drawing>
                <wp:inline>
                  <wp:extent cx="4754880" cy="3987354"/>
                  <wp:effectExtent b="0" l="0" r="0" t="0"/>
                  <wp:docPr descr="" title="" id="63" name="Picture"/>
                  <a:graphic>
                    <a:graphicData uri="http://schemas.openxmlformats.org/drawingml/2006/picture">
                      <pic:pic>
                        <pic:nvPicPr>
                          <pic:cNvPr descr="Chapter1/Figs/spectral_signatures.png" id="64" name="Picture"/>
                          <pic:cNvPicPr>
                            <a:picLocks noChangeArrowheads="1" noChangeAspect="1"/>
                          </pic:cNvPicPr>
                        </pic:nvPicPr>
                        <pic:blipFill>
                          <a:blip r:embed="rId62"/>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65"/>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normalised difference between</w:t>
      </w:r>
      <w:r>
        <w:t xml:space="preserve"> </w:t>
      </w:r>
      <m:oMath>
        <m:r>
          <m:t>R</m:t>
        </m:r>
      </m:oMath>
      <w:r>
        <w:t xml:space="preserve"> </w:t>
      </w:r>
      <w:r>
        <w:t xml:space="preserve">in the NIR and red. It is calculated as:</w:t>
      </w:r>
    </w:p>
    <w:p>
      <w:pPr>
        <w:pStyle w:val="BodyText"/>
      </w:pPr>
      <w:bookmarkStart w:id="66"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66"/>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w:t>
      </w:r>
      <w:r>
        <w:t xml:space="preserve"> </w:t>
      </w:r>
      <w:r>
        <w:t xml:space="preserve">Some studies propose a simple classification of NDVI based on thresholds to differentiate between different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chlorophyll-a.</w:t>
      </w:r>
    </w:p>
    <w:bookmarkStart w:id="74" w:name="remote-sensing-resolutions"/>
    <w:p>
      <w:pPr>
        <w:pStyle w:val="Heading4"/>
      </w:pPr>
      <w:r>
        <w:t xml:space="preserve">1.2.2.1 Remote Sensing resolutions</w:t>
      </w:r>
    </w:p>
    <w:bookmarkStart w:id="71" w:name="spectral-and-radiometric-resolution"/>
    <w:p>
      <w:pPr>
        <w:pStyle w:val="Heading5"/>
      </w:pPr>
      <w:r>
        <w:t xml:space="preserve">1.2.2.1.1 Spectral and Radiometric resolution</w:t>
      </w:r>
    </w:p>
    <w:p>
      <w:pPr>
        <w:pStyle w:val="FirstParagraph"/>
      </w:pPr>
      <w:r>
        <w:t xml:space="preserve">The detection of pigments absorption feature necessitate to measure light reflectance at almost each wavelength. However this capacity measure the spectral signature in details depends on the spectra resolution of the sensor used to make the measure.</w:t>
      </w:r>
    </w:p>
    <w:p>
      <w:pPr>
        <w:pStyle w:val="BodyText"/>
      </w:pPr>
      <w:r>
        <w:t xml:space="preserve">Spectral resolution is a critical parameter of remote sensing sensors, defined by three main components: the number of spectral bands, the bandwidth (Full Width at Half Maximum, FWHM), and the spectral sampling interval. A sensor with higher spectral resolution can differentiate between closely spaced wavelengths within the electromagnetic spectrum, enabling precise characterization of spectral features.</w:t>
      </w:r>
    </w:p>
    <w:tbl>
      <w:tblPr>
        <w:tblStyle w:val="Table"/>
        <w:tblW w:type="pct" w:w="5000"/>
        <w:tblLayout w:type="fixed"/>
        <w:tblLook w:firstRow="0" w:lastRow="0" w:firstColumn="0" w:lastColumn="0" w:noHBand="0" w:noVBand="0" w:val="0000"/>
      </w:tblPr>
      <w:tblGrid>
        <w:gridCol w:w="7920"/>
      </w:tblGrid>
      <w:tr>
        <w:tc>
          <w:tcPr/>
          <w:bookmarkStart w:id="70" w:name="fig-Spectral_resolutions"/>
          <w:p>
            <w:pPr>
              <w:pStyle w:val="Compact"/>
              <w:jc w:val="center"/>
            </w:pPr>
            <w:r>
              <w:drawing>
                <wp:inline>
                  <wp:extent cx="5943600" cy="3130355"/>
                  <wp:effectExtent b="0" l="0" r="0" t="0"/>
                  <wp:docPr descr="" title="" id="68" name="Picture"/>
                  <a:graphic>
                    <a:graphicData uri="http://schemas.openxmlformats.org/drawingml/2006/picture">
                      <pic:pic>
                        <pic:nvPicPr>
                          <pic:cNvPr descr="Chapter1/Figs/Spectra_resolutions/Fig_SpectralResolution_chouchou.png" id="69" name="Picture"/>
                          <pic:cNvPicPr>
                            <a:picLocks noChangeArrowheads="1" noChangeAspect="1"/>
                          </pic:cNvPicPr>
                        </pic:nvPicPr>
                        <pic:blipFill>
                          <a:blip r:embed="rId67"/>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bookmarkEnd w:id="70"/>
        </w:tc>
      </w:tr>
    </w:tbl>
    <w:p>
      <w:pPr>
        <w:pStyle w:val="BodyText"/>
      </w:pPr>
      <w:r>
        <w:t xml:space="preserve">Remote sensing sensors are generally classified into two categories based on their spectral resolution: multispectral sensors and hyperspectral sensors.</w:t>
      </w:r>
      <w:r>
        <w:t xml:space="preserve"> </w:t>
      </w:r>
      <w:r>
        <w:t xml:space="preserve">Multispectral sensors are characterized by a limited number of broad spectral bands. These bands cover wide portions of the spectrum,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resolution. This fine resolution allows for the detailed measurement of spectral signatures, capturing subtle variations in absorption features and spectral shapes. The difference in spectral resolution between these two categories significantly impacts the ability of the sensor to analyze complex spectral data. Hyperspectral sensors, with their narrow bands and fine sampling intervals, provide a continuous spectral profile that enables precise discrimination of unique spectral properties, such as pigment absorption. Multispectral sensors, while less detailed, are efficient for general spectral analyses where fine discrimination is not required.</w:t>
      </w:r>
      <w:r>
        <w:t xml:space="preserve"> </w:t>
      </w:r>
      <w:r>
        <w:t xml:space="preserve">Another specification of sensor regarding their ability to measure spectral signature is the radiometric resolution. It refers to the sensor’s ability to measure and differentiate variations in the intensity of electromagnetic radiation.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w:t>
      </w:r>
    </w:p>
    <w:bookmarkEnd w:id="71"/>
    <w:bookmarkStart w:id="72"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remote sensing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meters, 500 meters, and 1 kilometer,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agriculture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centimeters, even millimeters, depending on flight altitude and sensor specifications. This ultra-high resolution is particularly advantageous for site-specific analyses, such as precision agriculture, infrastructure inspection, and detailed terrain modeling.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72"/>
    <w:bookmarkStart w:id="73"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w:t>
      </w:r>
      <w:r>
        <w:t xml:space="preserve"> </w:t>
      </w:r>
      <w:r>
        <w:t xml:space="preserve">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w:t>
      </w:r>
    </w:p>
    <w:p>
      <w:pPr>
        <w:pStyle w:val="BodyText"/>
      </w:pPr>
      <w:r>
        <w:t xml:space="preserve">In contrast, some sensors are operated on-demand, with data acquisition triggered directly by the user. This is particularly characteristic of unmanned aerial vehicles (UAVs)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73"/>
    <w:bookmarkEnd w:id="74"/>
    <w:bookmarkStart w:id="79" w:name="a-story-of-trade-off"/>
    <w:p>
      <w:pPr>
        <w:pStyle w:val="Heading4"/>
      </w:pPr>
      <w:r>
        <w:t xml:space="preserve">1.2.2.2 A story of trade off</w:t>
      </w:r>
    </w:p>
    <w:p>
      <w:pPr>
        <w:pStyle w:val="FirstParagraph"/>
      </w:pPr>
      <w:r>
        <w:t xml:space="preserve">Remote sensing involves inherent trade-offs between spatial resolution, temporal resolution,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78" w:name="fig-ResolutionSatellite"/>
          <w:p>
            <w:pPr>
              <w:pStyle w:val="Compact"/>
              <w:jc w:val="center"/>
            </w:pPr>
            <w:r>
              <w:drawing>
                <wp:inline>
                  <wp:extent cx="5943600" cy="3500222"/>
                  <wp:effectExtent b="0" l="0" r="0" t="0"/>
                  <wp:docPr descr="" title="" id="76" name="Picture"/>
                  <a:graphic>
                    <a:graphicData uri="http://schemas.openxmlformats.org/drawingml/2006/picture">
                      <pic:pic>
                        <pic:nvPicPr>
                          <pic:cNvPr descr="Chapter1/Figs/Satellite_resolution.png" id="77" name="Picture"/>
                          <pic:cNvPicPr>
                            <a:picLocks noChangeArrowheads="1" noChangeAspect="1"/>
                          </pic:cNvPicPr>
                        </pic:nvPicPr>
                        <pic:blipFill>
                          <a:blip r:embed="rId75"/>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78"/>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chlorophyll concentrations, which are critical for understanding broader ecosystem health in coastal zones.</w:t>
      </w:r>
    </w:p>
    <w:p>
      <w:pPr>
        <w:pStyle w:val="BodyText"/>
      </w:pPr>
      <w:r>
        <w:t xml:space="preserve">Intermediate-resolution sensors provide a compromise, offering sufficient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bookmarkEnd w:id="79"/>
    <w:bookmarkEnd w:id="80"/>
    <w:bookmarkStart w:id="81" w:name="X6e0637a84264a80c0e5f6545e17679d348073aa"/>
    <w:p>
      <w:pPr>
        <w:pStyle w:val="Heading3"/>
      </w:pPr>
      <w:r>
        <w:t xml:space="preserve">1.2.3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Regulatory frameworks, such as the Water Framework Directive (WFD) and the Marine Strategy Framework Directive (MSFD), emphasize the need for regular mapping of marine habitats to monitor ecological health. These directives utilize habitat diversity as a bioindicator of coastal and estuarine water quality</w:t>
      </w:r>
      <w:r>
        <w:t xml:space="preserve"> </w:t>
      </w:r>
      <w:r>
        <w:t xml:space="preserve">(Borja et al., 2013; Zoffoli et al., 2021a)</w:t>
      </w:r>
      <w:r>
        <w:t xml:space="preserve">.</w:t>
      </w:r>
    </w:p>
    <w:p>
      <w:pPr>
        <w:pStyle w:val="BodyText"/>
      </w:pPr>
      <w:r>
        <w:t xml:space="preserve">Satellite remote sensing has emerged as a promising tool for studying essential biodiversity variables in these habitats</w:t>
      </w:r>
      <w:r>
        <w:t xml:space="preserve"> </w:t>
      </w:r>
      <w:r>
        <w:t xml:space="preserve">(Pereira et al., 2013a; Skidmore et al., 2015)</w:t>
      </w:r>
      <w:r>
        <w:t xml:space="preserve">. Remote sensing offers several advantages over in situ sampling: repeated monitoring over large-scale coverage, high-frequency data acquisition, enabling seasonal and phenological studies, reduced costs and logistical challenges compared to field surveys, reconstruction of past conditions when used long time-series.</w:t>
      </w:r>
    </w:p>
    <w:p>
      <w:pPr>
        <w:pStyle w:val="BodyText"/>
      </w:pPr>
      <w:r>
        <w:t xml:space="preserve">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p>
      <w:pPr>
        <w:pStyle w:val="Compact"/>
        <w:numPr>
          <w:ilvl w:val="0"/>
          <w:numId w:val="1004"/>
        </w:numPr>
      </w:pPr>
      <w:r>
        <w:t xml:space="preserve">EOV EBV</w:t>
      </w:r>
    </w:p>
    <w:p>
      <w:pPr>
        <w:pStyle w:val="Compact"/>
        <w:numPr>
          <w:ilvl w:val="0"/>
          <w:numId w:val="1004"/>
        </w:numPr>
      </w:pPr>
      <w:r>
        <w:t xml:space="preserve">Muller-Karger</w:t>
      </w:r>
    </w:p>
    <w:bookmarkEnd w:id="81"/>
    <w:bookmarkEnd w:id="82"/>
    <w:bookmarkStart w:id="83" w:name="overview"/>
    <w:p>
      <w:pPr>
        <w:pStyle w:val="Heading2"/>
      </w:pPr>
      <w:r>
        <w:t xml:space="preserve">1.3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w:t>
      </w:r>
    </w:p>
    <w:p>
      <w:pPr>
        <w:pStyle w:val="BodyText"/>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t xml:space="preserve">Finally,</w:t>
      </w:r>
      <w:r>
        <w:t xml:space="preserve"> </w:t>
      </w: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83"/>
    <w:bookmarkEnd w:id="84"/>
    <w:bookmarkStart w:id="151" w:name="X5946039c2941aedea9148f0862d7b582029c549"/>
    <w:p>
      <w:pPr>
        <w:pStyle w:val="Heading1"/>
      </w:pPr>
      <w:r>
        <w:t xml:space="preserve">2. Hyperspectral classification of intertidal vegetation for coastal biodiversity</w:t>
      </w:r>
    </w:p>
    <w:bookmarkStart w:id="85"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85"/>
    <w:bookmarkStart w:id="107" w:name="materials-and-methods"/>
    <w:p>
      <w:pPr>
        <w:pStyle w:val="Heading2"/>
      </w:pPr>
      <w:r>
        <w:t xml:space="preserve">2.2 Materials and Methods</w:t>
      </w:r>
    </w:p>
    <w:bookmarkStart w:id="98"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89"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87" name="Picture"/>
                  <a:graphic>
                    <a:graphicData uri="http://schemas.openxmlformats.org/drawingml/2006/picture">
                      <pic:pic>
                        <pic:nvPicPr>
                          <pic:cNvPr descr="Chapter2/Figs/SPECIESTABLE.png" id="88" name="Picture"/>
                          <pic:cNvPicPr>
                            <a:picLocks noChangeArrowheads="1" noChangeAspect="1"/>
                          </pic:cNvPicPr>
                        </pic:nvPicPr>
                        <pic:blipFill>
                          <a:blip r:embed="rId86"/>
                          <a:stretch>
                            <a:fillRect/>
                          </a:stretch>
                        </pic:blipFill>
                        <pic:spPr bwMode="auto">
                          <a:xfrm>
                            <a:off x="0" y="0"/>
                            <a:ext cx="5646420" cy="3556919"/>
                          </a:xfrm>
                          <a:prstGeom prst="rect">
                            <a:avLst/>
                          </a:prstGeom>
                          <a:noFill/>
                          <a:ln w="9525">
                            <a:noFill/>
                            <a:headEnd/>
                            <a:tailEnd/>
                          </a:ln>
                        </pic:spPr>
                      </pic:pic>
                    </a:graphicData>
                  </a:graphic>
                </wp:inline>
              </w:drawing>
            </w:r>
          </w:p>
          <w:bookmarkEnd w:id="89"/>
        </w:tc>
      </w:tr>
    </w:tbl>
    <w:tbl>
      <w:tblPr>
        <w:tblStyle w:val="Table"/>
        <w:tblW w:type="pct" w:w="5000"/>
        <w:tblLayout w:type="fixed"/>
        <w:tblLook w:firstRow="0" w:lastRow="0" w:firstColumn="0" w:lastColumn="0" w:noHBand="0" w:noVBand="0" w:val="0000"/>
      </w:tblPr>
      <w:tblGrid>
        <w:gridCol w:w="7920"/>
      </w:tblGrid>
      <w:tr>
        <w:tc>
          <w:tcPr/>
          <w:bookmarkStart w:id="93" w:name="fig-Images"/>
          <w:p>
            <w:pPr>
              <w:pStyle w:val="Compact"/>
              <w:jc w:val="center"/>
            </w:pPr>
            <w:r>
              <w:drawing>
                <wp:inline>
                  <wp:extent cx="5401056" cy="3444240"/>
                  <wp:effectExtent b="0" l="0" r="0" t="0"/>
                  <wp:docPr descr="" title="" id="91" name="Picture"/>
                  <a:graphic>
                    <a:graphicData uri="http://schemas.openxmlformats.org/drawingml/2006/picture">
                      <pic:pic>
                        <pic:nvPicPr>
                          <pic:cNvPr descr="Chapter2/Figs/Figure1.jpg" id="92" name="Picture"/>
                          <pic:cNvPicPr>
                            <a:picLocks noChangeArrowheads="1" noChangeAspect="1"/>
                          </pic:cNvPicPr>
                        </pic:nvPicPr>
                        <pic:blipFill>
                          <a:blip r:embed="rId90"/>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93"/>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97" w:name="fig-FIGMAP"/>
          <w:p>
            <w:pPr>
              <w:pStyle w:val="Compact"/>
              <w:jc w:val="center"/>
            </w:pPr>
            <w:r>
              <w:drawing>
                <wp:inline>
                  <wp:extent cx="5466283" cy="5027371"/>
                  <wp:effectExtent b="0" l="0" r="0" t="0"/>
                  <wp:docPr descr="" title="" id="95" name="Picture"/>
                  <a:graphic>
                    <a:graphicData uri="http://schemas.openxmlformats.org/drawingml/2006/picture">
                      <pic:pic>
                        <pic:nvPicPr>
                          <pic:cNvPr descr="Chapter2/Figs/Figure2.jpg" id="96" name="Picture"/>
                          <pic:cNvPicPr>
                            <a:picLocks noChangeArrowheads="1" noChangeAspect="1"/>
                          </pic:cNvPicPr>
                        </pic:nvPicPr>
                        <pic:blipFill>
                          <a:blip r:embed="rId94"/>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97"/>
        </w:tc>
      </w:tr>
    </w:tbl>
    <w:bookmarkEnd w:id="98"/>
    <w:bookmarkStart w:id="106" w:name="data-analysis"/>
    <w:p>
      <w:pPr>
        <w:pStyle w:val="Heading3"/>
      </w:pPr>
      <w:r>
        <w:t xml:space="preserve">2.2.2 Data Analysis</w:t>
      </w:r>
    </w:p>
    <w:bookmarkStart w:id="103"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02" w:name="fig-SpectraDegFIG"/>
          <w:p>
            <w:pPr>
              <w:pStyle w:val="Compact"/>
              <w:jc w:val="center"/>
            </w:pPr>
            <w:r>
              <w:drawing>
                <wp:inline>
                  <wp:extent cx="5646420" cy="5741879"/>
                  <wp:effectExtent b="0" l="0" r="0" t="0"/>
                  <wp:docPr descr="" title="" id="100" name="Picture"/>
                  <a:graphic>
                    <a:graphicData uri="http://schemas.openxmlformats.org/drawingml/2006/picture">
                      <pic:pic>
                        <pic:nvPicPr>
                          <pic:cNvPr descr="Chapter2/Figs/Figure3.jpg" id="101" name="Picture"/>
                          <pic:cNvPicPr>
                            <a:picLocks noChangeArrowheads="1" noChangeAspect="1"/>
                          </pic:cNvPicPr>
                        </pic:nvPicPr>
                        <pic:blipFill>
                          <a:blip r:embed="rId99"/>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02"/>
        </w:tc>
      </w:tr>
    </w:tbl>
    <w:bookmarkEnd w:id="103"/>
    <w:bookmarkStart w:id="104"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04"/>
    <w:bookmarkStart w:id="105"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05"/>
    <w:bookmarkEnd w:id="106"/>
    <w:bookmarkEnd w:id="107"/>
    <w:bookmarkStart w:id="140" w:name="results"/>
    <w:p>
      <w:pPr>
        <w:pStyle w:val="Heading2"/>
      </w:pPr>
      <w:r>
        <w:t xml:space="preserve">2.3 Results</w:t>
      </w:r>
    </w:p>
    <w:bookmarkStart w:id="112"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11" w:name="fig-SpectraFIG"/>
          <w:p>
            <w:pPr>
              <w:pStyle w:val="Compact"/>
              <w:jc w:val="center"/>
            </w:pPr>
            <w:r>
              <w:drawing>
                <wp:inline>
                  <wp:extent cx="4572000" cy="4511649"/>
                  <wp:effectExtent b="0" l="0" r="0" t="0"/>
                  <wp:docPr descr="" title="" id="109" name="Picture"/>
                  <a:graphic>
                    <a:graphicData uri="http://schemas.openxmlformats.org/drawingml/2006/picture">
                      <pic:pic>
                        <pic:nvPicPr>
                          <pic:cNvPr descr="Chapter2/Figs/Figure4.jpg" id="110" name="Picture"/>
                          <pic:cNvPicPr>
                            <a:picLocks noChangeArrowheads="1" noChangeAspect="1"/>
                          </pic:cNvPicPr>
                        </pic:nvPicPr>
                        <pic:blipFill>
                          <a:blip r:embed="rId108"/>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11"/>
        </w:tc>
      </w:tr>
    </w:tbl>
    <w:bookmarkEnd w:id="112"/>
    <w:bookmarkStart w:id="117"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16" w:name="fig-MDSFIG"/>
          <w:p>
            <w:pPr>
              <w:pStyle w:val="Compact"/>
              <w:jc w:val="center"/>
            </w:pPr>
            <w:r>
              <w:drawing>
                <wp:inline>
                  <wp:extent cx="5241340" cy="5186476"/>
                  <wp:effectExtent b="0" l="0" r="0" t="0"/>
                  <wp:docPr descr="" title="" id="114" name="Picture"/>
                  <a:graphic>
                    <a:graphicData uri="http://schemas.openxmlformats.org/drawingml/2006/picture">
                      <pic:pic>
                        <pic:nvPicPr>
                          <pic:cNvPr descr="Chapter2/Figs/Figure5.jpg" id="115" name="Picture"/>
                          <pic:cNvPicPr>
                            <a:picLocks noChangeArrowheads="1" noChangeAspect="1"/>
                          </pic:cNvPicPr>
                        </pic:nvPicPr>
                        <pic:blipFill>
                          <a:blip r:embed="rId113"/>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16"/>
        </w:tc>
      </w:tr>
    </w:tbl>
    <w:bookmarkEnd w:id="117"/>
    <w:bookmarkStart w:id="134"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21" w:name="fig-MetricsFIG"/>
          <w:p>
            <w:pPr>
              <w:pStyle w:val="Compact"/>
              <w:jc w:val="center"/>
            </w:pPr>
            <w:r>
              <w:drawing>
                <wp:inline>
                  <wp:extent cx="4998110" cy="5012740"/>
                  <wp:effectExtent b="0" l="0" r="0" t="0"/>
                  <wp:docPr descr="" title="" id="119" name="Picture"/>
                  <a:graphic>
                    <a:graphicData uri="http://schemas.openxmlformats.org/drawingml/2006/picture">
                      <pic:pic>
                        <pic:nvPicPr>
                          <pic:cNvPr descr="Chapter2/Figs/Figure6.jpg" id="120" name="Picture"/>
                          <pic:cNvPicPr>
                            <a:picLocks noChangeArrowheads="1" noChangeAspect="1"/>
                          </pic:cNvPicPr>
                        </pic:nvPicPr>
                        <pic:blipFill>
                          <a:blip r:embed="rId118"/>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21"/>
        </w:tc>
      </w:tr>
    </w:tbl>
    <w:tbl>
      <w:tblPr>
        <w:tblStyle w:val="Table"/>
        <w:tblW w:type="pct" w:w="5000"/>
        <w:tblLayout w:type="fixed"/>
        <w:tblLook w:firstRow="0" w:lastRow="0" w:firstColumn="0" w:lastColumn="0" w:noHBand="0" w:noVBand="0" w:val="0000"/>
      </w:tblPr>
      <w:tblGrid>
        <w:gridCol w:w="7920"/>
      </w:tblGrid>
      <w:tr>
        <w:tc>
          <w:tcPr/>
          <w:bookmarkStart w:id="125"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23" name="Picture"/>
                  <a:graphic>
                    <a:graphicData uri="http://schemas.openxmlformats.org/drawingml/2006/picture">
                      <pic:pic>
                        <pic:nvPicPr>
                          <pic:cNvPr descr="Chapter2/Figs/metricsTable.png" id="124" name="Picture"/>
                          <pic:cNvPicPr>
                            <a:picLocks noChangeArrowheads="1" noChangeAspect="1"/>
                          </pic:cNvPicPr>
                        </pic:nvPicPr>
                        <pic:blipFill>
                          <a:blip r:embed="rId122"/>
                          <a:stretch>
                            <a:fillRect/>
                          </a:stretch>
                        </pic:blipFill>
                        <pic:spPr bwMode="auto">
                          <a:xfrm>
                            <a:off x="0" y="0"/>
                            <a:ext cx="5646420" cy="1870321"/>
                          </a:xfrm>
                          <a:prstGeom prst="rect">
                            <a:avLst/>
                          </a:prstGeom>
                          <a:noFill/>
                          <a:ln w="9525">
                            <a:noFill/>
                            <a:headEnd/>
                            <a:tailEnd/>
                          </a:ln>
                        </pic:spPr>
                      </pic:pic>
                    </a:graphicData>
                  </a:graphic>
                </wp:inline>
              </w:drawing>
            </w:r>
          </w:p>
          <w:bookmarkEnd w:id="125"/>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29" w:name="fig-VIPFIG"/>
          <w:p>
            <w:pPr>
              <w:pStyle w:val="Compact"/>
              <w:jc w:val="center"/>
            </w:pPr>
            <w:r>
              <w:drawing>
                <wp:inline>
                  <wp:extent cx="4753051" cy="4694529"/>
                  <wp:effectExtent b="0" l="0" r="0" t="0"/>
                  <wp:docPr descr="" title="" id="127" name="Picture"/>
                  <a:graphic>
                    <a:graphicData uri="http://schemas.openxmlformats.org/drawingml/2006/picture">
                      <pic:pic>
                        <pic:nvPicPr>
                          <pic:cNvPr descr="Chapter2/Figs/Figure7.jpg" id="128" name="Picture"/>
                          <pic:cNvPicPr>
                            <a:picLocks noChangeArrowheads="1" noChangeAspect="1"/>
                          </pic:cNvPicPr>
                        </pic:nvPicPr>
                        <pic:blipFill>
                          <a:blip r:embed="rId126"/>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29"/>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33" w:name="fig-VIPFunction"/>
          <w:p>
            <w:pPr>
              <w:pStyle w:val="Compact"/>
              <w:jc w:val="center"/>
            </w:pPr>
            <w:r>
              <w:drawing>
                <wp:inline>
                  <wp:extent cx="5226710" cy="5171846"/>
                  <wp:effectExtent b="0" l="0" r="0" t="0"/>
                  <wp:docPr descr="" title="" id="131" name="Picture"/>
                  <a:graphic>
                    <a:graphicData uri="http://schemas.openxmlformats.org/drawingml/2006/picture">
                      <pic:pic>
                        <pic:nvPicPr>
                          <pic:cNvPr descr="Chapter2/Figs/Figure8.jpg" id="132" name="Picture"/>
                          <pic:cNvPicPr>
                            <a:picLocks noChangeArrowheads="1" noChangeAspect="1"/>
                          </pic:cNvPicPr>
                        </pic:nvPicPr>
                        <pic:blipFill>
                          <a:blip r:embed="rId130"/>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33"/>
        </w:tc>
      </w:tr>
    </w:tbl>
    <w:bookmarkEnd w:id="134"/>
    <w:bookmarkStart w:id="139"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38" w:name="fig-ConfMatFIG"/>
          <w:p>
            <w:pPr>
              <w:pStyle w:val="Compact"/>
              <w:jc w:val="center"/>
            </w:pPr>
            <w:r>
              <w:drawing>
                <wp:inline>
                  <wp:extent cx="4319016" cy="4306824"/>
                  <wp:effectExtent b="0" l="0" r="0" t="0"/>
                  <wp:docPr descr="" title="" id="136" name="Picture"/>
                  <a:graphic>
                    <a:graphicData uri="http://schemas.openxmlformats.org/drawingml/2006/picture">
                      <pic:pic>
                        <pic:nvPicPr>
                          <pic:cNvPr descr="Chapter2/Figs/Figure9.jpg" id="137" name="Picture"/>
                          <pic:cNvPicPr>
                            <a:picLocks noChangeArrowheads="1" noChangeAspect="1"/>
                          </pic:cNvPicPr>
                        </pic:nvPicPr>
                        <pic:blipFill>
                          <a:blip r:embed="rId135"/>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38"/>
        </w:tc>
      </w:tr>
    </w:tbl>
    <w:bookmarkEnd w:id="139"/>
    <w:bookmarkEnd w:id="140"/>
    <w:bookmarkStart w:id="150" w:name="discussion"/>
    <w:p>
      <w:pPr>
        <w:pStyle w:val="Heading2"/>
      </w:pPr>
      <w:r>
        <w:t xml:space="preserve">2.4 Discussion</w:t>
      </w:r>
    </w:p>
    <w:bookmarkStart w:id="141"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41"/>
    <w:bookmarkStart w:id="146"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45"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43" name="Picture"/>
                  <a:graphic>
                    <a:graphicData uri="http://schemas.openxmlformats.org/drawingml/2006/picture">
                      <pic:pic>
                        <pic:nvPicPr>
                          <pic:cNvPr descr="Chapter2/Figs/pigmentTable.png" id="144" name="Picture"/>
                          <pic:cNvPicPr>
                            <a:picLocks noChangeArrowheads="1" noChangeAspect="1"/>
                          </pic:cNvPicPr>
                        </pic:nvPicPr>
                        <pic:blipFill>
                          <a:blip r:embed="rId142"/>
                          <a:stretch>
                            <a:fillRect/>
                          </a:stretch>
                        </pic:blipFill>
                        <pic:spPr bwMode="auto">
                          <a:xfrm>
                            <a:off x="0" y="0"/>
                            <a:ext cx="5646420" cy="1510798"/>
                          </a:xfrm>
                          <a:prstGeom prst="rect">
                            <a:avLst/>
                          </a:prstGeom>
                          <a:noFill/>
                          <a:ln w="9525">
                            <a:noFill/>
                            <a:headEnd/>
                            <a:tailEnd/>
                          </a:ln>
                        </pic:spPr>
                      </pic:pic>
                    </a:graphicData>
                  </a:graphic>
                </wp:inline>
              </w:drawing>
            </w:r>
          </w:p>
          <w:bookmarkEnd w:id="145"/>
        </w:tc>
      </w:tr>
    </w:tbl>
    <w:bookmarkEnd w:id="146"/>
    <w:bookmarkStart w:id="147"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47"/>
    <w:bookmarkStart w:id="148"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48"/>
    <w:bookmarkStart w:id="149"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49"/>
    <w:bookmarkEnd w:id="150"/>
    <w:bookmarkEnd w:id="151"/>
    <w:bookmarkStart w:id="245" w:name="X27e1cd8292c123eed0e7ee2bdbf2cbaf1b8c277"/>
    <w:p>
      <w:pPr>
        <w:pStyle w:val="Heading1"/>
      </w:pPr>
      <w:r>
        <w:t xml:space="preserve">3. Discriminating Seagrasses from Green Macroalgae in European Intertidal Areas Using High-Resolution Multispectral Drone Imagery</w:t>
      </w:r>
    </w:p>
    <w:bookmarkStart w:id="152"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52"/>
    <w:bookmarkStart w:id="187" w:name="material-methods"/>
    <w:p>
      <w:pPr>
        <w:pStyle w:val="Heading2"/>
      </w:pPr>
      <w:r>
        <w:t xml:space="preserve">3.2 Material &amp; Methods</w:t>
      </w:r>
    </w:p>
    <w:bookmarkStart w:id="157"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56" w:name="fig-map"/>
          <w:p>
            <w:pPr>
              <w:pStyle w:val="Compact"/>
              <w:jc w:val="center"/>
            </w:pPr>
            <w:r>
              <w:drawing>
                <wp:inline>
                  <wp:extent cx="5646420" cy="5646420"/>
                  <wp:effectExtent b="0" l="0" r="0" t="0"/>
                  <wp:docPr descr="" title="" id="154" name="Picture"/>
                  <a:graphic>
                    <a:graphicData uri="http://schemas.openxmlformats.org/drawingml/2006/picture">
                      <pic:pic>
                        <pic:nvPicPr>
                          <pic:cNvPr descr="Chapter3/Figs/Figure1.png" id="155" name="Picture"/>
                          <pic:cNvPicPr>
                            <a:picLocks noChangeArrowheads="1" noChangeAspect="1"/>
                          </pic:cNvPicPr>
                        </pic:nvPicPr>
                        <pic:blipFill>
                          <a:blip r:embed="rId153"/>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56"/>
        </w:tc>
      </w:tr>
    </w:tbl>
    <w:bookmarkEnd w:id="157"/>
    <w:bookmarkStart w:id="168" w:name="field-sampling"/>
    <w:p>
      <w:pPr>
        <w:pStyle w:val="Heading3"/>
      </w:pPr>
      <w:r>
        <w:t xml:space="preserve">3.2.2 Field sampling</w:t>
      </w:r>
    </w:p>
    <w:bookmarkStart w:id="162"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61"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59" name="Picture"/>
                  <a:graphic>
                    <a:graphicData uri="http://schemas.openxmlformats.org/drawingml/2006/picture">
                      <pic:pic>
                        <pic:nvPicPr>
                          <pic:cNvPr descr="Chapter3/Figs/Table1.png" id="160" name="Picture"/>
                          <pic:cNvPicPr>
                            <a:picLocks noChangeArrowheads="1" noChangeAspect="1"/>
                          </pic:cNvPicPr>
                        </pic:nvPicPr>
                        <pic:blipFill>
                          <a:blip r:embed="rId158"/>
                          <a:stretch>
                            <a:fillRect/>
                          </a:stretch>
                        </pic:blipFill>
                        <pic:spPr bwMode="auto">
                          <a:xfrm>
                            <a:off x="0" y="0"/>
                            <a:ext cx="5646420" cy="2477358"/>
                          </a:xfrm>
                          <a:prstGeom prst="rect">
                            <a:avLst/>
                          </a:prstGeom>
                          <a:noFill/>
                          <a:ln w="9525">
                            <a:noFill/>
                            <a:headEnd/>
                            <a:tailEnd/>
                          </a:ln>
                        </pic:spPr>
                      </pic:pic>
                    </a:graphicData>
                  </a:graphic>
                </wp:inline>
              </w:drawing>
            </w:r>
          </w:p>
          <w:bookmarkEnd w:id="161"/>
        </w:tc>
      </w:tr>
    </w:tbl>
    <w:bookmarkEnd w:id="162"/>
    <w:bookmarkStart w:id="167"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66" w:name="fig-vegetation"/>
          <w:p>
            <w:pPr>
              <w:pStyle w:val="Compact"/>
              <w:jc w:val="center"/>
            </w:pPr>
            <w:r>
              <w:drawing>
                <wp:inline>
                  <wp:extent cx="5646420" cy="3952494"/>
                  <wp:effectExtent b="0" l="0" r="0" t="0"/>
                  <wp:docPr descr="" title="" id="164" name="Picture"/>
                  <a:graphic>
                    <a:graphicData uri="http://schemas.openxmlformats.org/drawingml/2006/picture">
                      <pic:pic>
                        <pic:nvPicPr>
                          <pic:cNvPr descr="Chapter3/Figs/Figure2.png" id="165" name="Picture"/>
                          <pic:cNvPicPr>
                            <a:picLocks noChangeArrowheads="1" noChangeAspect="1"/>
                          </pic:cNvPicPr>
                        </pic:nvPicPr>
                        <pic:blipFill>
                          <a:blip r:embed="rId163"/>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66"/>
        </w:tc>
      </w:tr>
    </w:tbl>
    <w:bookmarkEnd w:id="167"/>
    <w:bookmarkEnd w:id="168"/>
    <w:bookmarkStart w:id="169"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69"/>
    <w:bookmarkStart w:id="183"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3" w:name="fig-workflow"/>
          <w:p>
            <w:pPr>
              <w:pStyle w:val="Compact"/>
              <w:jc w:val="center"/>
            </w:pPr>
            <w:r>
              <w:drawing>
                <wp:inline>
                  <wp:extent cx="5646420" cy="3320212"/>
                  <wp:effectExtent b="0" l="0" r="0" t="0"/>
                  <wp:docPr descr="" title="" id="171" name="Picture"/>
                  <a:graphic>
                    <a:graphicData uri="http://schemas.openxmlformats.org/drawingml/2006/picture">
                      <pic:pic>
                        <pic:nvPicPr>
                          <pic:cNvPr descr="Chapter3/Figs/Figure3.png" id="172" name="Picture"/>
                          <pic:cNvPicPr>
                            <a:picLocks noChangeArrowheads="1" noChangeAspect="1"/>
                          </pic:cNvPicPr>
                        </pic:nvPicPr>
                        <pic:blipFill>
                          <a:blip r:embed="rId170"/>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73"/>
        </w:tc>
      </w:tr>
    </w:tbl>
    <w:bookmarkStart w:id="180"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77"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75" name="Picture"/>
                  <a:graphic>
                    <a:graphicData uri="http://schemas.openxmlformats.org/drawingml/2006/picture">
                      <pic:pic>
                        <pic:nvPicPr>
                          <pic:cNvPr descr="Chapter3/Figs/Table2.png" id="176" name="Picture"/>
                          <pic:cNvPicPr>
                            <a:picLocks noChangeArrowheads="1" noChangeAspect="1"/>
                          </pic:cNvPicPr>
                        </pic:nvPicPr>
                        <pic:blipFill>
                          <a:blip r:embed="rId174"/>
                          <a:stretch>
                            <a:fillRect/>
                          </a:stretch>
                        </pic:blipFill>
                        <pic:spPr bwMode="auto">
                          <a:xfrm>
                            <a:off x="0" y="0"/>
                            <a:ext cx="5646420" cy="2011714"/>
                          </a:xfrm>
                          <a:prstGeom prst="rect">
                            <a:avLst/>
                          </a:prstGeom>
                          <a:noFill/>
                          <a:ln w="9525">
                            <a:noFill/>
                            <a:headEnd/>
                            <a:tailEnd/>
                          </a:ln>
                        </pic:spPr>
                      </pic:pic>
                    </a:graphicData>
                  </a:graphic>
                </wp:inline>
              </w:drawing>
            </w:r>
          </w:p>
          <w:bookmarkEnd w:id="177"/>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78"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7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79"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79"/>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80"/>
    <w:bookmarkStart w:id="181"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81"/>
    <w:bookmarkStart w:id="182"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82"/>
    <w:bookmarkEnd w:id="183"/>
    <w:bookmarkStart w:id="184"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84"/>
    <w:bookmarkStart w:id="185"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85"/>
    <w:bookmarkStart w:id="186"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86"/>
    <w:bookmarkEnd w:id="187"/>
    <w:bookmarkStart w:id="230" w:name="results-1"/>
    <w:p>
      <w:pPr>
        <w:pStyle w:val="Heading2"/>
      </w:pPr>
      <w:r>
        <w:t xml:space="preserve">3.3 Results</w:t>
      </w:r>
    </w:p>
    <w:bookmarkStart w:id="192"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1" w:name="fig-CompareRef"/>
          <w:p>
            <w:pPr>
              <w:pStyle w:val="Compact"/>
              <w:jc w:val="center"/>
            </w:pPr>
            <w:r>
              <w:drawing>
                <wp:inline>
                  <wp:extent cx="5646420" cy="2426196"/>
                  <wp:effectExtent b="0" l="0" r="0" t="0"/>
                  <wp:docPr descr="" title="" id="189" name="Picture"/>
                  <a:graphic>
                    <a:graphicData uri="http://schemas.openxmlformats.org/drawingml/2006/picture">
                      <pic:pic>
                        <pic:nvPicPr>
                          <pic:cNvPr descr="Chapter3/Figs/Figure4.png" id="190" name="Picture"/>
                          <pic:cNvPicPr>
                            <a:picLocks noChangeArrowheads="1" noChangeAspect="1"/>
                          </pic:cNvPicPr>
                        </pic:nvPicPr>
                        <pic:blipFill>
                          <a:blip r:embed="rId188"/>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91"/>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92"/>
    <w:bookmarkStart w:id="209"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96" w:name="fig-GafLow"/>
          <w:p>
            <w:pPr>
              <w:pStyle w:val="Compact"/>
              <w:jc w:val="center"/>
            </w:pPr>
            <w:r>
              <w:drawing>
                <wp:inline>
                  <wp:extent cx="5646420" cy="2937902"/>
                  <wp:effectExtent b="0" l="0" r="0" t="0"/>
                  <wp:docPr descr="" title="" id="194" name="Picture"/>
                  <a:graphic>
                    <a:graphicData uri="http://schemas.openxmlformats.org/drawingml/2006/picture">
                      <pic:pic>
                        <pic:nvPicPr>
                          <pic:cNvPr descr="Chapter3/Figs/Figure5.png" id="195" name="Picture"/>
                          <pic:cNvPicPr>
                            <a:picLocks noChangeArrowheads="1" noChangeAspect="1"/>
                          </pic:cNvPicPr>
                        </pic:nvPicPr>
                        <pic:blipFill>
                          <a:blip r:embed="rId193"/>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96"/>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00" w:name="fig-GafHigh"/>
          <w:p>
            <w:pPr>
              <w:pStyle w:val="Compact"/>
              <w:jc w:val="center"/>
            </w:pPr>
            <w:r>
              <w:drawing>
                <wp:inline>
                  <wp:extent cx="5646420" cy="4800778"/>
                  <wp:effectExtent b="0" l="0" r="0" t="0"/>
                  <wp:docPr descr="" title="" id="198" name="Picture"/>
                  <a:graphic>
                    <a:graphicData uri="http://schemas.openxmlformats.org/drawingml/2006/picture">
                      <pic:pic>
                        <pic:nvPicPr>
                          <pic:cNvPr descr="Chapter3/Figs/Figure6.png" id="199" name="Picture"/>
                          <pic:cNvPicPr>
                            <a:picLocks noChangeArrowheads="1" noChangeAspect="1"/>
                          </pic:cNvPicPr>
                        </pic:nvPicPr>
                        <pic:blipFill>
                          <a:blip r:embed="rId197"/>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00"/>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04" w:name="fig-Boat"/>
          <w:p>
            <w:pPr>
              <w:pStyle w:val="Compact"/>
              <w:jc w:val="center"/>
            </w:pPr>
            <w:r>
              <w:drawing>
                <wp:inline>
                  <wp:extent cx="5646420" cy="7129639"/>
                  <wp:effectExtent b="0" l="0" r="0" t="0"/>
                  <wp:docPr descr="" title="" id="202" name="Picture"/>
                  <a:graphic>
                    <a:graphicData uri="http://schemas.openxmlformats.org/drawingml/2006/picture">
                      <pic:pic>
                        <pic:nvPicPr>
                          <pic:cNvPr descr="Chapter3/Figs/Figure7.png" id="203" name="Picture"/>
                          <pic:cNvPicPr>
                            <a:picLocks noChangeArrowheads="1" noChangeAspect="1"/>
                          </pic:cNvPicPr>
                        </pic:nvPicPr>
                        <pic:blipFill>
                          <a:blip r:embed="rId201"/>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04"/>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08" w:name="fig-Dike"/>
          <w:p>
            <w:pPr>
              <w:pStyle w:val="Compact"/>
              <w:jc w:val="center"/>
            </w:pPr>
            <w:r>
              <w:drawing>
                <wp:inline>
                  <wp:extent cx="5646420" cy="4714079"/>
                  <wp:effectExtent b="0" l="0" r="0" t="0"/>
                  <wp:docPr descr="" title="" id="206" name="Picture"/>
                  <a:graphic>
                    <a:graphicData uri="http://schemas.openxmlformats.org/drawingml/2006/picture">
                      <pic:pic>
                        <pic:nvPicPr>
                          <pic:cNvPr descr="Chapter3/Figs/Figure8.png" id="207" name="Picture"/>
                          <pic:cNvPicPr>
                            <a:picLocks noChangeArrowheads="1" noChangeAspect="1"/>
                          </pic:cNvPicPr>
                        </pic:nvPicPr>
                        <pic:blipFill>
                          <a:blip r:embed="rId205"/>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08"/>
        </w:tc>
      </w:tr>
    </w:tbl>
    <w:bookmarkEnd w:id="209"/>
    <w:bookmarkStart w:id="214"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3" w:name="fig-Validation"/>
          <w:p>
            <w:pPr>
              <w:pStyle w:val="Compact"/>
              <w:jc w:val="center"/>
            </w:pPr>
            <w:r>
              <w:drawing>
                <wp:inline>
                  <wp:extent cx="5646420" cy="3781151"/>
                  <wp:effectExtent b="0" l="0" r="0" t="0"/>
                  <wp:docPr descr="" title="" id="211" name="Picture"/>
                  <a:graphic>
                    <a:graphicData uri="http://schemas.openxmlformats.org/drawingml/2006/picture">
                      <pic:pic>
                        <pic:nvPicPr>
                          <pic:cNvPr descr="Chapter3/Figs/Figure9.png" id="212" name="Picture"/>
                          <pic:cNvPicPr>
                            <a:picLocks noChangeArrowheads="1" noChangeAspect="1"/>
                          </pic:cNvPicPr>
                        </pic:nvPicPr>
                        <pic:blipFill>
                          <a:blip r:embed="rId210"/>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13"/>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14"/>
    <w:bookmarkStart w:id="219"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8" w:name="fig-VIP"/>
          <w:p>
            <w:pPr>
              <w:pStyle w:val="Compact"/>
              <w:jc w:val="center"/>
            </w:pPr>
            <w:r>
              <w:drawing>
                <wp:inline>
                  <wp:extent cx="5646420" cy="4164933"/>
                  <wp:effectExtent b="0" l="0" r="0" t="0"/>
                  <wp:docPr descr="" title="" id="216" name="Picture"/>
                  <a:graphic>
                    <a:graphicData uri="http://schemas.openxmlformats.org/drawingml/2006/picture">
                      <pic:pic>
                        <pic:nvPicPr>
                          <pic:cNvPr descr="Chapter3/Figs/Figure10.png" id="217" name="Picture"/>
                          <pic:cNvPicPr>
                            <a:picLocks noChangeArrowheads="1" noChangeAspect="1"/>
                          </pic:cNvPicPr>
                        </pic:nvPicPr>
                        <pic:blipFill>
                          <a:blip r:embed="rId215"/>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18"/>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19"/>
    <w:bookmarkStart w:id="224"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23" w:name="fig-pixelsize"/>
          <w:p>
            <w:pPr>
              <w:pStyle w:val="Compact"/>
              <w:jc w:val="center"/>
            </w:pPr>
            <w:r>
              <w:drawing>
                <wp:inline>
                  <wp:extent cx="5349240" cy="4312690"/>
                  <wp:effectExtent b="0" l="0" r="0" t="0"/>
                  <wp:docPr descr="" title="" id="221" name="Picture"/>
                  <a:graphic>
                    <a:graphicData uri="http://schemas.openxmlformats.org/drawingml/2006/picture">
                      <pic:pic>
                        <pic:nvPicPr>
                          <pic:cNvPr descr="Chapter3/Figs/Figure11.png" id="222" name="Picture"/>
                          <pic:cNvPicPr>
                            <a:picLocks noChangeArrowheads="1" noChangeAspect="1"/>
                          </pic:cNvPicPr>
                        </pic:nvPicPr>
                        <pic:blipFill>
                          <a:blip r:embed="rId220"/>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23"/>
        </w:tc>
      </w:tr>
    </w:tbl>
    <w:bookmarkEnd w:id="224"/>
    <w:bookmarkStart w:id="229"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8" w:name="fig-upscaling"/>
          <w:p>
            <w:pPr>
              <w:pStyle w:val="Compact"/>
              <w:jc w:val="center"/>
            </w:pPr>
            <w:r>
              <w:drawing>
                <wp:inline>
                  <wp:extent cx="5646420" cy="7578268"/>
                  <wp:effectExtent b="0" l="0" r="0" t="0"/>
                  <wp:docPr descr="" title="" id="226" name="Picture"/>
                  <a:graphic>
                    <a:graphicData uri="http://schemas.openxmlformats.org/drawingml/2006/picture">
                      <pic:pic>
                        <pic:nvPicPr>
                          <pic:cNvPr descr="Chapter3/Figs/Figure12.png" id="227" name="Picture"/>
                          <pic:cNvPicPr>
                            <a:picLocks noChangeArrowheads="1" noChangeAspect="1"/>
                          </pic:cNvPicPr>
                        </pic:nvPicPr>
                        <pic:blipFill>
                          <a:blip r:embed="rId225"/>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28"/>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29"/>
    <w:bookmarkEnd w:id="230"/>
    <w:bookmarkStart w:id="243" w:name="discussion-1"/>
    <w:p>
      <w:pPr>
        <w:pStyle w:val="Heading2"/>
      </w:pPr>
      <w:r>
        <w:t xml:space="preserve">3.4 Discussion</w:t>
      </w:r>
    </w:p>
    <w:bookmarkStart w:id="239"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34" w:name="fig-Pigm"/>
          <w:p>
            <w:pPr>
              <w:pStyle w:val="Compact"/>
              <w:jc w:val="center"/>
            </w:pPr>
            <w:r>
              <w:drawing>
                <wp:inline>
                  <wp:extent cx="5943600" cy="2877014"/>
                  <wp:effectExtent b="0" l="0" r="0" t="0"/>
                  <wp:docPr descr="" title="" id="232" name="Picture"/>
                  <a:graphic>
                    <a:graphicData uri="http://schemas.openxmlformats.org/drawingml/2006/picture">
                      <pic:pic>
                        <pic:nvPicPr>
                          <pic:cNvPr descr="Chapter3/Figs/Figure13.png" id="233" name="Picture"/>
                          <pic:cNvPicPr>
                            <a:picLocks noChangeArrowheads="1" noChangeAspect="1"/>
                          </pic:cNvPicPr>
                        </pic:nvPicPr>
                        <pic:blipFill>
                          <a:blip r:embed="rId231"/>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234"/>
        </w:tc>
      </w:tr>
    </w:tbl>
    <w:tbl>
      <w:tblPr>
        <w:tblStyle w:val="Table"/>
        <w:tblW w:type="pct" w:w="5000"/>
        <w:tblLayout w:type="fixed"/>
        <w:tblLook w:firstRow="0" w:lastRow="0" w:firstColumn="0" w:lastColumn="0" w:noHBand="0" w:noVBand="0" w:val="0000"/>
      </w:tblPr>
      <w:tblGrid>
        <w:gridCol w:w="7920"/>
      </w:tblGrid>
      <w:tr>
        <w:tc>
          <w:tcPr/>
          <w:bookmarkStart w:id="238" w:name="fig-ValidationGreen"/>
          <w:p>
            <w:pPr>
              <w:pStyle w:val="Compact"/>
              <w:jc w:val="center"/>
            </w:pPr>
            <w:r>
              <w:drawing>
                <wp:inline>
                  <wp:extent cx="2971800" cy="2121448"/>
                  <wp:effectExtent b="0" l="0" r="0" t="0"/>
                  <wp:docPr descr="" title="" id="236" name="Picture"/>
                  <a:graphic>
                    <a:graphicData uri="http://schemas.openxmlformats.org/drawingml/2006/picture">
                      <pic:pic>
                        <pic:nvPicPr>
                          <pic:cNvPr descr="Chapter3/Figs/Figure14.png" id="237" name="Picture"/>
                          <pic:cNvPicPr>
                            <a:picLocks noChangeArrowheads="1" noChangeAspect="1"/>
                          </pic:cNvPicPr>
                        </pic:nvPicPr>
                        <pic:blipFill>
                          <a:blip r:embed="rId235"/>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38"/>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39"/>
    <w:bookmarkStart w:id="240"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40"/>
    <w:bookmarkStart w:id="241"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41"/>
    <w:bookmarkStart w:id="242"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42"/>
    <w:bookmarkEnd w:id="243"/>
    <w:bookmarkStart w:id="244"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44"/>
    <w:bookmarkEnd w:id="245"/>
    <w:bookmarkStart w:id="246"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246"/>
    <w:bookmarkStart w:id="549" w:name="references"/>
    <w:p>
      <w:pPr>
        <w:pStyle w:val="Heading1"/>
      </w:pPr>
      <w:r>
        <w:t xml:space="preserve">References</w:t>
      </w:r>
    </w:p>
    <w:bookmarkStart w:id="548" w:name="refs"/>
    <w:bookmarkStart w:id="247" w:name="ref-adade2021"/>
    <w:p>
      <w:pPr>
        <w:pStyle w:val="Bibliography"/>
      </w:pPr>
      <w:r>
        <w:t xml:space="preserve">Adade, R., Aibinu, A.M., Ekumah, B., Asaana, J., 2021. Unmanned aerial vehicle (UAV) applications in coastal zone management—a review. Environmental Monitoring and Assessment 193, 1–12.</w:t>
      </w:r>
    </w:p>
    <w:bookmarkEnd w:id="247"/>
    <w:bookmarkStart w:id="248" w:name="ref-aghanim2020resultats"/>
    <w:p>
      <w:pPr>
        <w:pStyle w:val="Bibliography"/>
      </w:pPr>
      <w:r>
        <w:t xml:space="preserve">Aghanim, N., Dole, H., 2020. Les r</w:t>
      </w:r>
      <w:r>
        <w:t xml:space="preserve">é</w:t>
      </w:r>
      <w:r>
        <w:t xml:space="preserve">sultats cosmologiques de la mission planck. Reflets de la physique 4–7.</w:t>
      </w:r>
    </w:p>
    <w:bookmarkEnd w:id="248"/>
    <w:bookmarkStart w:id="250" w:name="ref-agisoft"/>
    <w:p>
      <w:pPr>
        <w:pStyle w:val="Bibliography"/>
      </w:pPr>
      <w:r>
        <w:t xml:space="preserve">Agisoft, 2019.</w:t>
      </w:r>
      <w:r>
        <w:t xml:space="preserve"> </w:t>
      </w:r>
      <w:hyperlink r:id="rId249">
        <w:r>
          <w:rPr>
            <w:rStyle w:val="Hyperlink"/>
          </w:rPr>
          <w:t xml:space="preserve">Agisoft metashape</w:t>
        </w:r>
      </w:hyperlink>
      <w:r>
        <w:t xml:space="preserve">.</w:t>
      </w:r>
    </w:p>
    <w:bookmarkEnd w:id="250"/>
    <w:bookmarkStart w:id="251"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251"/>
    <w:bookmarkStart w:id="252"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252"/>
    <w:bookmarkStart w:id="254" w:name="ref-ASI2020"/>
    <w:p>
      <w:pPr>
        <w:pStyle w:val="Bibliography"/>
      </w:pPr>
      <w:r>
        <w:t xml:space="preserve">ASI, 2020.</w:t>
      </w:r>
      <w:r>
        <w:t xml:space="preserve"> </w:t>
      </w:r>
      <w:hyperlink r:id="rId253">
        <w:r>
          <w:rPr>
            <w:rStyle w:val="Hyperlink"/>
          </w:rPr>
          <w:t xml:space="preserve">PRISMA products specification document issue 2.3 date 12/03/2020</w:t>
        </w:r>
      </w:hyperlink>
      <w:r>
        <w:t xml:space="preserve">.</w:t>
      </w:r>
    </w:p>
    <w:bookmarkEnd w:id="254"/>
    <w:bookmarkStart w:id="255"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55"/>
    <w:bookmarkStart w:id="25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56"/>
    <w:bookmarkStart w:id="257" w:name="ref-Bargain2012"/>
    <w:p>
      <w:pPr>
        <w:pStyle w:val="Bibliography"/>
      </w:pPr>
      <w:r>
        <w:t xml:space="preserve">Bargain, A., Robin, M., Le Men, E., Huete, A., Barillé, L., 2012. Spectral response of the seagrass zostera noltii with different sediment backgrounds. Aquatic Botany 98, 45–56.</w:t>
      </w:r>
    </w:p>
    <w:bookmarkEnd w:id="257"/>
    <w:bookmarkStart w:id="259"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58">
        <w:r>
          <w:rPr>
            <w:rStyle w:val="Hyperlink"/>
          </w:rPr>
          <w:t xml:space="preserve">https://doi.org/10.1016/j.jembe.2013.04.012</w:t>
        </w:r>
      </w:hyperlink>
    </w:p>
    <w:bookmarkEnd w:id="259"/>
    <w:bookmarkStart w:id="260"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60"/>
    <w:bookmarkStart w:id="262"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61">
        <w:r>
          <w:rPr>
            <w:rStyle w:val="Hyperlink"/>
          </w:rPr>
          <w:t xml:space="preserve">https://doi.org/10.1016/j.rse.2010.12.008</w:t>
        </w:r>
      </w:hyperlink>
    </w:p>
    <w:bookmarkEnd w:id="262"/>
    <w:bookmarkStart w:id="264"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63">
        <w:r>
          <w:rPr>
            <w:rStyle w:val="Hyperlink"/>
          </w:rPr>
          <w:t xml:space="preserve">https://doi.org/10.1016/j.aquabot.2009.11.006</w:t>
        </w:r>
      </w:hyperlink>
    </w:p>
    <w:bookmarkEnd w:id="264"/>
    <w:bookmarkStart w:id="265" w:name="ref-beach1997vivo"/>
    <w:p>
      <w:pPr>
        <w:pStyle w:val="Bibliography"/>
      </w:pPr>
      <w:r>
        <w:t xml:space="preserve">Beach, K., Borgeas, H., Nishimura, N., Smith, C., 1997. In vivo absorbance spectra and the ecophysiology of reef macroalgae. Coral Reefs 16, 21–28.</w:t>
      </w:r>
    </w:p>
    <w:bookmarkEnd w:id="265"/>
    <w:bookmarkStart w:id="267"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66">
        <w:r>
          <w:rPr>
            <w:rStyle w:val="Hyperlink"/>
          </w:rPr>
          <w:t xml:space="preserve">https://doi.org/10.1007/s003380050055</w:t>
        </w:r>
      </w:hyperlink>
    </w:p>
    <w:bookmarkEnd w:id="267"/>
    <w:bookmarkStart w:id="269"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68">
        <w:r>
          <w:rPr>
            <w:rStyle w:val="Hyperlink"/>
          </w:rPr>
          <w:t xml:space="preserve">https://doi.org/10.1007/s12237-021-00949-8</w:t>
        </w:r>
      </w:hyperlink>
    </w:p>
    <w:bookmarkEnd w:id="269"/>
    <w:bookmarkStart w:id="270"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270"/>
    <w:bookmarkStart w:id="271" w:name="ref-blum2009drowning"/>
    <w:p>
      <w:pPr>
        <w:pStyle w:val="Bibliography"/>
      </w:pPr>
      <w:r>
        <w:t xml:space="preserve">Blum, M.D., Roberts, H.H., 2009. Drowning of the mississippi delta due to insufficient sediment supply and global sea-level rise. Nature geoscience 2, 488–491.</w:t>
      </w:r>
    </w:p>
    <w:bookmarkEnd w:id="271"/>
    <w:bookmarkStart w:id="272"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72"/>
    <w:bookmarkStart w:id="274" w:name="ref-Brondizio2019"/>
    <w:p>
      <w:pPr>
        <w:pStyle w:val="Bibliography"/>
      </w:pPr>
      <w:r>
        <w:t xml:space="preserve">Brondízio, E.S., Settele, J., Díaz, S., Ngo, H.T.(eds)., 2019.</w:t>
      </w:r>
      <w:r>
        <w:t xml:space="preserve"> </w:t>
      </w:r>
      <w:hyperlink r:id="rId273">
        <w:r>
          <w:rPr>
            <w:rStyle w:val="Hyperlink"/>
          </w:rPr>
          <w:t xml:space="preserve">IPBES (2019), Global assessment report of the Intergovernmental Science-Policy Platform on Biodiversity and Ecosystem Services</w:t>
        </w:r>
      </w:hyperlink>
      <w:r>
        <w:t xml:space="preserve">.</w:t>
      </w:r>
    </w:p>
    <w:bookmarkEnd w:id="274"/>
    <w:bookmarkStart w:id="276"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75">
        <w:r>
          <w:rPr>
            <w:rStyle w:val="Hyperlink"/>
          </w:rPr>
          <w:t xml:space="preserve">https://doi.org/10.3390/RS14020307</w:t>
        </w:r>
      </w:hyperlink>
    </w:p>
    <w:bookmarkEnd w:id="276"/>
    <w:bookmarkStart w:id="277"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77"/>
    <w:bookmarkStart w:id="279"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78">
        <w:r>
          <w:rPr>
            <w:rStyle w:val="Hyperlink"/>
          </w:rPr>
          <w:t xml:space="preserve">https://doi.org/10.1139/cjfas-2016-0137</w:t>
        </w:r>
      </w:hyperlink>
    </w:p>
    <w:bookmarkEnd w:id="279"/>
    <w:bookmarkStart w:id="280"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80"/>
    <w:bookmarkStart w:id="281"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81"/>
    <w:bookmarkStart w:id="283"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82">
        <w:r>
          <w:rPr>
            <w:rStyle w:val="Hyperlink"/>
          </w:rPr>
          <w:t xml:space="preserve">https://doi.org/10.1016/j.csr.2013.01.010</w:t>
        </w:r>
      </w:hyperlink>
    </w:p>
    <w:bookmarkEnd w:id="283"/>
    <w:bookmarkStart w:id="285"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84">
        <w:r>
          <w:rPr>
            <w:rStyle w:val="Hyperlink"/>
          </w:rPr>
          <w:t xml:space="preserve">https://doi.org/10.1007/s00227-012-1987-5</w:t>
        </w:r>
      </w:hyperlink>
    </w:p>
    <w:bookmarkEnd w:id="285"/>
    <w:bookmarkStart w:id="286" w:name="ref-casella2020"/>
    <w:p>
      <w:pPr>
        <w:pStyle w:val="Bibliography"/>
      </w:pPr>
      <w:r>
        <w:t xml:space="preserve">Casella, E., Drechsel, J., Winter, C., Benninghoff, M., Rovere, A., 2020. Accuracy of sand beach topography surveying by drones and photogrammetry. Geo-Marine Letters 40, 255–268.</w:t>
      </w:r>
    </w:p>
    <w:bookmarkEnd w:id="286"/>
    <w:bookmarkStart w:id="288"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87">
        <w:r>
          <w:rPr>
            <w:rStyle w:val="Hyperlink"/>
          </w:rPr>
          <w:t xml:space="preserve">https://doi.org/10.1016/j.algal.2017.04.021</w:t>
        </w:r>
      </w:hyperlink>
    </w:p>
    <w:bookmarkEnd w:id="288"/>
    <w:bookmarkStart w:id="28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89"/>
    <w:bookmarkStart w:id="290" w:name="ref-chefaoui2018dramatic"/>
    <w:p>
      <w:pPr>
        <w:pStyle w:val="Bibliography"/>
      </w:pPr>
      <w:r>
        <w:t xml:space="preserve">Chefaoui, R.M., Duarte, C.M., Serrão, E.A., 2018. Dramatic loss of seagrass habitat under projected climate change in the mediterranean sea. Global change biology 24, 4919–4928.</w:t>
      </w:r>
    </w:p>
    <w:bookmarkEnd w:id="290"/>
    <w:bookmarkStart w:id="291" w:name="ref-christensen1977seaweeds"/>
    <w:p>
      <w:pPr>
        <w:pStyle w:val="Bibliography"/>
      </w:pPr>
      <w:r>
        <w:t xml:space="preserve">Christensen, T., Dixon, P.S., Irvine, L.M., 1977. Seaweeds of the british isles: Tribophyceae (xanthophyceae). British Museum (Natural History).</w:t>
      </w:r>
    </w:p>
    <w:bookmarkEnd w:id="291"/>
    <w:bookmarkStart w:id="29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292"/>
    <w:bookmarkStart w:id="29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93"/>
    <w:bookmarkStart w:id="294" w:name="ref-collin2019improving"/>
    <w:p>
      <w:pPr>
        <w:pStyle w:val="Bibliography"/>
      </w:pPr>
      <w:r>
        <w:t xml:space="preserve">Collin, A., Dubois, S., James, D., Houet, T., 2019. Improving intertidal reef mapping using UAV surface, red edge, and near-infrared data. Drones 3, 67.</w:t>
      </w:r>
    </w:p>
    <w:bookmarkEnd w:id="294"/>
    <w:bookmarkStart w:id="295"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95"/>
    <w:bookmarkStart w:id="296"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296"/>
    <w:bookmarkStart w:id="298"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97">
        <w:r>
          <w:rPr>
            <w:rStyle w:val="Hyperlink"/>
          </w:rPr>
          <w:t xml:space="preserve">https://doi.org/10.1016/j.ecolind.2020.107018</w:t>
        </w:r>
      </w:hyperlink>
    </w:p>
    <w:bookmarkEnd w:id="298"/>
    <w:bookmarkStart w:id="299"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99"/>
    <w:bookmarkStart w:id="300"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300"/>
    <w:bookmarkStart w:id="301"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301"/>
    <w:bookmarkStart w:id="303"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302">
        <w:r>
          <w:rPr>
            <w:rStyle w:val="Hyperlink"/>
          </w:rPr>
          <w:t xml:space="preserve">https://doi.org/10.1016/j.rse.2023.113554</w:t>
        </w:r>
      </w:hyperlink>
    </w:p>
    <w:bookmarkEnd w:id="303"/>
    <w:bookmarkStart w:id="304" w:name="ref-Davies2022b"/>
    <w:p>
      <w:pPr>
        <w:pStyle w:val="Bibliography"/>
      </w:pPr>
      <w:r>
        <w:t xml:space="preserve">Davies, B.F.R., Holmes, L., Attrill, M.J., Sheehan, E.V., 2022. Ecosystem benefits of adopting a whole-site approach to MPA management. Fisheries Management and Ecology.</w:t>
      </w:r>
    </w:p>
    <w:bookmarkEnd w:id="304"/>
    <w:bookmarkStart w:id="30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305"/>
    <w:bookmarkStart w:id="30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306"/>
    <w:bookmarkStart w:id="308" w:name="ref-BedeGbif"/>
    <w:p>
      <w:pPr>
        <w:pStyle w:val="Bibliography"/>
      </w:pPr>
      <w:r>
        <w:t xml:space="preserve">Davies, B.F.R., Sousa, A.I., Figueira, R., Oiry, S., Gernez, P., Barillé, L., 2023b. Benthic intertidal vegetation from the tagus estuary and aveiro lagoon.</w:t>
      </w:r>
      <w:r>
        <w:t xml:space="preserve"> </w:t>
      </w:r>
      <w:hyperlink r:id="rId307">
        <w:r>
          <w:rPr>
            <w:rStyle w:val="Hyperlink"/>
          </w:rPr>
          <w:t xml:space="preserve">https://doi.org/10.15468/n4ak6x</w:t>
        </w:r>
      </w:hyperlink>
    </w:p>
    <w:bookmarkEnd w:id="308"/>
    <w:bookmarkStart w:id="309" w:name="ref-davis2003review"/>
    <w:p>
      <w:pPr>
        <w:pStyle w:val="Bibliography"/>
      </w:pPr>
      <w:r>
        <w:t xml:space="preserve">Davis, T.A., Volesky, B., Mucci, A., 2003. A review of the biochemistry of heavy metal biosorption by brown algae. Water research 37, 4311–4330.</w:t>
      </w:r>
    </w:p>
    <w:bookmarkEnd w:id="309"/>
    <w:bookmarkStart w:id="310" w:name="ref-de1995wind"/>
    <w:p>
      <w:pPr>
        <w:pStyle w:val="Bibliography"/>
      </w:pPr>
      <w:r>
        <w:t xml:space="preserve">De Jorge, V., Van Beusekom, J., 1995. Wind-and tide-induced resuspension of sediment and microphytobenthos from tidal flats in the ems estuary. Limnology and oceanography 40, 776–778.</w:t>
      </w:r>
    </w:p>
    <w:bookmarkEnd w:id="310"/>
    <w:bookmarkStart w:id="311" w:name="ref-decho2000microbial"/>
    <w:p>
      <w:pPr>
        <w:pStyle w:val="Bibliography"/>
      </w:pPr>
      <w:r>
        <w:t xml:space="preserve">Decho, A.W., 2000. Microbial biofilms in intertidal systems: An overview. Continental shelf research 20, 1257–1273.</w:t>
      </w:r>
    </w:p>
    <w:bookmarkEnd w:id="311"/>
    <w:bookmarkStart w:id="31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312"/>
    <w:bookmarkStart w:id="313"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313"/>
    <w:bookmarkStart w:id="314" w:name="ref-devlin2023nutrients"/>
    <w:p>
      <w:pPr>
        <w:pStyle w:val="Bibliography"/>
      </w:pPr>
      <w:r>
        <w:t xml:space="preserve">Devlin, M., Brodie, J., 2023. Nutrients and eutrophication, in: Marine Pollution–Monitoring, Management and Mitigation. Springer, pp. 75–100.</w:t>
      </w:r>
    </w:p>
    <w:bookmarkEnd w:id="314"/>
    <w:bookmarkStart w:id="316"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315">
        <w:r>
          <w:rPr>
            <w:rStyle w:val="Hyperlink"/>
          </w:rPr>
          <w:t xml:space="preserve">https://doi.org/10.1016/j.rse.2015.01.027</w:t>
        </w:r>
      </w:hyperlink>
    </w:p>
    <w:bookmarkEnd w:id="316"/>
    <w:bookmarkStart w:id="317"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317"/>
    <w:bookmarkStart w:id="318"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318"/>
    <w:bookmarkStart w:id="320" w:name="ref-Douay2022"/>
    <w:p>
      <w:pPr>
        <w:pStyle w:val="Bibliography"/>
      </w:pPr>
      <w:r>
        <w:t xml:space="preserve">Douay, F., Verpoorter, C., Duong, G., Spilmont, N., Gevaert, F., 2022. New hyperspectral procedure to discriminate intertidal macroalgae. Remote Sensing 14.</w:t>
      </w:r>
      <w:r>
        <w:t xml:space="preserve"> </w:t>
      </w:r>
      <w:hyperlink r:id="rId319">
        <w:r>
          <w:rPr>
            <w:rStyle w:val="Hyperlink"/>
          </w:rPr>
          <w:t xml:space="preserve">https://doi.org/10.3390/rs14020346</w:t>
        </w:r>
      </w:hyperlink>
    </w:p>
    <w:bookmarkEnd w:id="320"/>
    <w:bookmarkStart w:id="321"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321"/>
    <w:bookmarkStart w:id="322"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322"/>
    <w:bookmarkStart w:id="323"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323"/>
    <w:bookmarkStart w:id="324"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324"/>
    <w:bookmarkStart w:id="325"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325"/>
    <w:bookmarkStart w:id="326"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326"/>
    <w:bookmarkStart w:id="32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327"/>
    <w:bookmarkStart w:id="328"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328"/>
    <w:bookmarkStart w:id="329"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329"/>
    <w:bookmarkStart w:id="330" w:name="ref-foden2007angiosperms"/>
    <w:p>
      <w:pPr>
        <w:pStyle w:val="Bibliography"/>
      </w:pPr>
      <w:r>
        <w:t xml:space="preserve">Foden, J., Brazier, D., 2007. Angiosperms (seagrass) within the EU water framework directive: A UK perspective. Marine Pollution Bulletin 55, 181–195.</w:t>
      </w:r>
    </w:p>
    <w:bookmarkEnd w:id="330"/>
    <w:bookmarkStart w:id="331"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331"/>
    <w:bookmarkStart w:id="333" w:name="ref-R-rsample"/>
    <w:p>
      <w:pPr>
        <w:pStyle w:val="Bibliography"/>
      </w:pPr>
      <w:r>
        <w:t xml:space="preserve">Frick, H., Chow, F., Kuhn, M., Mahoney, M., Silge, J., Wickham, H., 2024.</w:t>
      </w:r>
      <w:r>
        <w:t xml:space="preserve"> </w:t>
      </w:r>
      <w:hyperlink r:id="rId332">
        <w:r>
          <w:rPr>
            <w:rStyle w:val="Hyperlink"/>
          </w:rPr>
          <w:t xml:space="preserve">Rsample: General resampling infrastructure</w:t>
        </w:r>
      </w:hyperlink>
      <w:r>
        <w:t xml:space="preserve">.</w:t>
      </w:r>
    </w:p>
    <w:bookmarkEnd w:id="333"/>
    <w:bookmarkStart w:id="334" w:name="ref-fyfe2003spatial"/>
    <w:p>
      <w:pPr>
        <w:pStyle w:val="Bibliography"/>
      </w:pPr>
      <w:r>
        <w:t xml:space="preserve">Fyfe, S., 2003. Spatial and temporal variation in spectral reflectance: Are seagrass species spectrally distinct? Limnology and Oceanography 48, 464–479.</w:t>
      </w:r>
    </w:p>
    <w:bookmarkEnd w:id="334"/>
    <w:bookmarkStart w:id="336"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335">
        <w:r>
          <w:rPr>
            <w:rStyle w:val="Hyperlink"/>
          </w:rPr>
          <w:t xml:space="preserve">https://doi.org/10.4319/lo.2003.48.1_part_2.0464</w:t>
        </w:r>
      </w:hyperlink>
    </w:p>
    <w:bookmarkEnd w:id="336"/>
    <w:bookmarkStart w:id="337" w:name="ref-Gardner2018"/>
    <w:p>
      <w:pPr>
        <w:pStyle w:val="Bibliography"/>
      </w:pPr>
      <w:r>
        <w:t xml:space="preserve">Gardner, R.C., Finlayson, C., 2018a. Global wetland outlook: State of the world’s wetlands and their services to people, in: Ramsar Convention Secretariat. pp. 2020–5.</w:t>
      </w:r>
    </w:p>
    <w:bookmarkEnd w:id="337"/>
    <w:bookmarkStart w:id="338" w:name="ref-gardner2018"/>
    <w:p>
      <w:pPr>
        <w:pStyle w:val="Bibliography"/>
      </w:pPr>
      <w:r>
        <w:t xml:space="preserve">Gardner, R.C., Finlayson, C., 2018b. Global wetland outlook: State of the world’s wetlands and their services to people. Stetson Law.</w:t>
      </w:r>
    </w:p>
    <w:bookmarkEnd w:id="338"/>
    <w:bookmarkStart w:id="340"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339">
        <w:r>
          <w:rPr>
            <w:rStyle w:val="Hyperlink"/>
          </w:rPr>
          <w:t xml:space="preserve">https://doi.org/10.1016/j.ecss.2021.107320</w:t>
        </w:r>
      </w:hyperlink>
    </w:p>
    <w:bookmarkEnd w:id="340"/>
    <w:bookmarkStart w:id="34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341"/>
    <w:bookmarkStart w:id="342" w:name="ref-Green2021"/>
    <w:p>
      <w:pPr>
        <w:pStyle w:val="Bibliography"/>
      </w:pPr>
      <w:r>
        <w:t xml:space="preserve">Green, A.E., Unsworth, R.K., Chadwick, M.A., Jones, P.J., 2021. Historical analysis exposes catastrophic seagrass loss for the united kingdom. Frontiers in plant science 261.</w:t>
      </w:r>
    </w:p>
    <w:bookmarkEnd w:id="342"/>
    <w:bookmarkStart w:id="344" w:name="ref-R-vip"/>
    <w:p>
      <w:pPr>
        <w:pStyle w:val="Bibliography"/>
      </w:pPr>
      <w:r>
        <w:t xml:space="preserve">Greenwell, B.M., Boehmke, B., 2023.</w:t>
      </w:r>
      <w:r>
        <w:t xml:space="preserve"> </w:t>
      </w:r>
      <w:hyperlink r:id="rId343">
        <w:r>
          <w:rPr>
            <w:rStyle w:val="Hyperlink"/>
          </w:rPr>
          <w:t xml:space="preserve">Vip: Variable importance plots</w:t>
        </w:r>
      </w:hyperlink>
      <w:r>
        <w:t xml:space="preserve">.</w:t>
      </w:r>
    </w:p>
    <w:bookmarkEnd w:id="344"/>
    <w:bookmarkStart w:id="345" w:name="ref-Guyot1990"/>
    <w:p>
      <w:pPr>
        <w:pStyle w:val="Bibliography"/>
      </w:pPr>
      <w:r>
        <w:t xml:space="preserve">Guyot, G., 1990. Optical properties of vegetation canopies. Optical properties of vegetation canopies. 19–43.</w:t>
      </w:r>
    </w:p>
    <w:bookmarkEnd w:id="345"/>
    <w:bookmarkStart w:id="34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346"/>
    <w:bookmarkStart w:id="347" w:name="ref-hanley2024victim"/>
    <w:p>
      <w:pPr>
        <w:pStyle w:val="Bibliography"/>
      </w:pPr>
      <w:r>
        <w:t xml:space="preserve">Hanley, M.E., Firth, L.B., Foggo, A., 2024. Victim of changes? Marine macroalgae in a changing world. Annals of Botany 133, 1–16.</w:t>
      </w:r>
    </w:p>
    <w:bookmarkEnd w:id="347"/>
    <w:bookmarkStart w:id="348" w:name="ref-haro2023biointertidal"/>
    <w:p>
      <w:pPr>
        <w:pStyle w:val="Bibliography"/>
      </w:pPr>
      <w:r>
        <w:t xml:space="preserve">Haro, S., Jimenez-Reina, J., Bermejo, R., Morrison, L., 2023. BioIntertidal mapper software: A satellite approach for NDVI-based intertidal habitat mapping. SoftwareX 24, 101520.</w:t>
      </w:r>
    </w:p>
    <w:bookmarkEnd w:id="348"/>
    <w:bookmarkStart w:id="349" w:name="ref-hassan2005ecosystems"/>
    <w:p>
      <w:pPr>
        <w:pStyle w:val="Bibliography"/>
      </w:pPr>
      <w:r>
        <w:t xml:space="preserve">Hassan, R., Scholes, R., Ash, N., 2005. Ecosystems and human well-being: Current state and trends.</w:t>
      </w:r>
    </w:p>
    <w:bookmarkEnd w:id="349"/>
    <w:bookmarkStart w:id="351"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350">
        <w:r>
          <w:rPr>
            <w:rStyle w:val="Hyperlink"/>
          </w:rPr>
          <w:t xml:space="preserve">https://doi.org/10.3390/app8122688</w:t>
        </w:r>
      </w:hyperlink>
    </w:p>
    <w:bookmarkEnd w:id="351"/>
    <w:bookmarkStart w:id="352"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352"/>
    <w:bookmarkStart w:id="354"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353">
        <w:r>
          <w:rPr>
            <w:rStyle w:val="Hyperlink"/>
          </w:rPr>
          <w:t xml:space="preserve">https://doi.org/10.1016/j.rse.2015.05.023</w:t>
        </w:r>
      </w:hyperlink>
    </w:p>
    <w:bookmarkEnd w:id="354"/>
    <w:bookmarkStart w:id="355"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355"/>
    <w:bookmarkStart w:id="357"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356">
        <w:r>
          <w:rPr>
            <w:rStyle w:val="Hyperlink"/>
          </w:rPr>
          <w:t xml:space="preserve">https://doi.org/10.1016/j.envpol.2021.117731</w:t>
        </w:r>
      </w:hyperlink>
    </w:p>
    <w:bookmarkEnd w:id="357"/>
    <w:bookmarkStart w:id="358" w:name="ref-howard2018fastai"/>
    <w:p>
      <w:pPr>
        <w:pStyle w:val="Bibliography"/>
      </w:pPr>
      <w:r>
        <w:t xml:space="preserve">Howard, J., others, 2018. Fastai.</w:t>
      </w:r>
    </w:p>
    <w:bookmarkEnd w:id="358"/>
    <w:bookmarkStart w:id="360"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359">
        <w:r>
          <w:rPr>
            <w:rStyle w:val="Hyperlink"/>
          </w:rPr>
          <w:t xml:space="preserve">https://doi.org/10.1016/j.rse.2017.01.037</w:t>
        </w:r>
      </w:hyperlink>
    </w:p>
    <w:bookmarkEnd w:id="360"/>
    <w:bookmarkStart w:id="362" w:name="ref-ign"/>
    <w:p>
      <w:pPr>
        <w:pStyle w:val="Bibliography"/>
      </w:pPr>
      <w:r>
        <w:t xml:space="preserve">IGN, 2024.</w:t>
      </w:r>
      <w:r>
        <w:t xml:space="preserve"> </w:t>
      </w:r>
      <w:hyperlink r:id="rId361">
        <w:r>
          <w:rPr>
            <w:rStyle w:val="Hyperlink"/>
          </w:rPr>
          <w:t xml:space="preserve">Institut national de l’information géographique et forestiere (IGN)</w:t>
        </w:r>
      </w:hyperlink>
      <w:r>
        <w:t xml:space="preserve">.</w:t>
      </w:r>
    </w:p>
    <w:bookmarkEnd w:id="362"/>
    <w:bookmarkStart w:id="363" w:name="ref-ismail2020therapeutic"/>
    <w:p>
      <w:pPr>
        <w:pStyle w:val="Bibliography"/>
      </w:pPr>
      <w:r>
        <w:t xml:space="preserve">Ismail, M.M., Alotaibi, B.S., El-Sheekh, M.M., 2020. Therapeutic uses of red macroalgae. Molecules 25, 4411.</w:t>
      </w:r>
    </w:p>
    <w:bookmarkEnd w:id="363"/>
    <w:bookmarkStart w:id="365" w:name="ref-itopf_statistics"/>
    <w:p>
      <w:pPr>
        <w:pStyle w:val="Bibliography"/>
      </w:pPr>
      <w:r>
        <w:t xml:space="preserve">(ITOPF), I.T.O.P.F., 2023.</w:t>
      </w:r>
      <w:r>
        <w:t xml:space="preserve"> </w:t>
      </w:r>
      <w:hyperlink r:id="rId364">
        <w:r>
          <w:rPr>
            <w:rStyle w:val="Hyperlink"/>
          </w:rPr>
          <w:t xml:space="preserve">Statistics - ITOPF</w:t>
        </w:r>
      </w:hyperlink>
      <w:r>
        <w:t xml:space="preserve">.</w:t>
      </w:r>
    </w:p>
    <w:bookmarkEnd w:id="365"/>
    <w:bookmarkStart w:id="366"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366"/>
    <w:bookmarkStart w:id="36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367"/>
    <w:bookmarkStart w:id="369" w:name="ref-IMO2020GHG"/>
    <w:p>
      <w:pPr>
        <w:pStyle w:val="Bibliography"/>
      </w:pPr>
      <w:r>
        <w:t xml:space="preserve">Jasper Faber, S.Z., Shinichi Hanayama, 2021.</w:t>
      </w:r>
      <w:r>
        <w:t xml:space="preserve"> </w:t>
      </w:r>
      <w:hyperlink r:id="rId368">
        <w:r>
          <w:rPr>
            <w:rStyle w:val="Hyperlink"/>
          </w:rPr>
          <w:t xml:space="preserve">Fourth IMO GHG study 2020: Executive summary</w:t>
        </w:r>
      </w:hyperlink>
      <w:r>
        <w:t xml:space="preserve">. International Maritime Organization (IMO), 4 Albert Embankment, London SE1 7SR.</w:t>
      </w:r>
    </w:p>
    <w:bookmarkEnd w:id="369"/>
    <w:bookmarkStart w:id="370"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370"/>
    <w:bookmarkStart w:id="372"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371">
        <w:r>
          <w:rPr>
            <w:rStyle w:val="Hyperlink"/>
          </w:rPr>
          <w:t xml:space="preserve">https://doi.org/10.1177/0309133309339563</w:t>
        </w:r>
      </w:hyperlink>
    </w:p>
    <w:bookmarkEnd w:id="372"/>
    <w:bookmarkStart w:id="373" w:name="ref-joyce2023"/>
    <w:p>
      <w:pPr>
        <w:pStyle w:val="Bibliography"/>
      </w:pPr>
      <w:r>
        <w:t xml:space="preserve">Joyce, K.E., Fickas, K.C., Kalamandeen, M., 2023. The unique value proposition for using drones to map coastal ecosystems. Cambridge Prisms: Coastal Futures 1, e6.</w:t>
      </w:r>
    </w:p>
    <w:bookmarkEnd w:id="373"/>
    <w:bookmarkStart w:id="374"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374"/>
    <w:bookmarkStart w:id="375" w:name="ref-Kirk1994"/>
    <w:p>
      <w:pPr>
        <w:pStyle w:val="Bibliography"/>
      </w:pPr>
      <w:r>
        <w:t xml:space="preserve">Kirk, J.T., 1994a. Light and photosynthesis in aquatic ecosystems. Cambridge university press.</w:t>
      </w:r>
    </w:p>
    <w:bookmarkEnd w:id="375"/>
    <w:bookmarkStart w:id="376" w:name="ref-kirk1994light"/>
    <w:p>
      <w:pPr>
        <w:pStyle w:val="Bibliography"/>
      </w:pPr>
      <w:r>
        <w:t xml:space="preserve">Kirk, J.T., 1994b. Light and photosynthesis in aquatic ecosystems. Cambridge university press.</w:t>
      </w:r>
    </w:p>
    <w:bookmarkEnd w:id="376"/>
    <w:bookmarkStart w:id="377" w:name="ref-klemas2012remote"/>
    <w:p>
      <w:pPr>
        <w:pStyle w:val="Bibliography"/>
      </w:pPr>
      <w:r>
        <w:t xml:space="preserve">Klemas, V., 2012. Remote sensing of algal blooms: An overview with case studies. Journal of coastal research 28, 34–43.</w:t>
      </w:r>
    </w:p>
    <w:bookmarkEnd w:id="377"/>
    <w:bookmarkStart w:id="378"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378"/>
    <w:bookmarkStart w:id="380"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379">
        <w:r>
          <w:rPr>
            <w:rStyle w:val="Hyperlink"/>
          </w:rPr>
          <w:t xml:space="preserve">https://doi.org/10.1063/1.44433</w:t>
        </w:r>
      </w:hyperlink>
    </w:p>
    <w:bookmarkEnd w:id="380"/>
    <w:bookmarkStart w:id="382" w:name="ref-R-yardstick"/>
    <w:p>
      <w:pPr>
        <w:pStyle w:val="Bibliography"/>
      </w:pPr>
      <w:r>
        <w:t xml:space="preserve">Kuhn, M., Vaughan, D., Hvitfeldt, E., 2024.</w:t>
      </w:r>
      <w:r>
        <w:t xml:space="preserve"> </w:t>
      </w:r>
      <w:hyperlink r:id="rId381">
        <w:r>
          <w:rPr>
            <w:rStyle w:val="Hyperlink"/>
          </w:rPr>
          <w:t xml:space="preserve">Yardstick: Tidy characterizations of model performance</w:t>
        </w:r>
      </w:hyperlink>
      <w:r>
        <w:t xml:space="preserve">.</w:t>
      </w:r>
    </w:p>
    <w:bookmarkEnd w:id="382"/>
    <w:bookmarkStart w:id="384" w:name="ref-tidymodels2020"/>
    <w:p>
      <w:pPr>
        <w:pStyle w:val="Bibliography"/>
      </w:pPr>
      <w:r>
        <w:t xml:space="preserve">Kuhn, M., Wickham, H., 2020.</w:t>
      </w:r>
      <w:r>
        <w:t xml:space="preserve"> </w:t>
      </w:r>
      <w:hyperlink r:id="rId383">
        <w:r>
          <w:rPr>
            <w:rStyle w:val="Hyperlink"/>
          </w:rPr>
          <w:t xml:space="preserve">Tidymodels: A collection of packages for modeling and machine learning using tidyverse principles.</w:t>
        </w:r>
      </w:hyperlink>
    </w:p>
    <w:bookmarkEnd w:id="384"/>
    <w:bookmarkStart w:id="386"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85">
        <w:r>
          <w:rPr>
            <w:rStyle w:val="Hyperlink"/>
          </w:rPr>
          <w:t xml:space="preserve">https://doi.org/10.1016/j.ecss.2005.12.004</w:t>
        </w:r>
      </w:hyperlink>
    </w:p>
    <w:bookmarkEnd w:id="386"/>
    <w:bookmarkStart w:id="387"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387"/>
    <w:bookmarkStart w:id="388"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388"/>
    <w:bookmarkStart w:id="389"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389"/>
    <w:bookmarkStart w:id="390"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90"/>
    <w:bookmarkStart w:id="391"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91"/>
    <w:bookmarkStart w:id="392"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92"/>
    <w:bookmarkStart w:id="39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93"/>
    <w:bookmarkStart w:id="394"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394"/>
    <w:bookmarkStart w:id="395"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95"/>
    <w:bookmarkStart w:id="396"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96"/>
    <w:bookmarkStart w:id="397"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397"/>
    <w:bookmarkStart w:id="398"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398"/>
    <w:bookmarkStart w:id="399" w:name="ref-louime2017sargassum"/>
    <w:p>
      <w:pPr>
        <w:pStyle w:val="Bibliography"/>
      </w:pPr>
      <w:r>
        <w:t xml:space="preserve">Louime, C., Fortune, J., Gervais, G., 2017. Sargassum invasion of coastal environments: A growing concern. American Journal of Environmental Sciences 13, 58–64.</w:t>
      </w:r>
    </w:p>
    <w:bookmarkEnd w:id="399"/>
    <w:bookmarkStart w:id="400" w:name="ref-lovelock2017mangrove"/>
    <w:p>
      <w:pPr>
        <w:pStyle w:val="Bibliography"/>
      </w:pPr>
      <w:r>
        <w:t xml:space="preserve">Lovelock, C.E., Feller, I.C., Reef, R., Hickey, S., Ball, M.C., 2017. Mangrove dieback during fluctuating sea levels. Scientific Reports 7, 1680.</w:t>
      </w:r>
    </w:p>
    <w:bookmarkEnd w:id="400"/>
    <w:bookmarkStart w:id="401"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401"/>
    <w:bookmarkStart w:id="40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402"/>
    <w:bookmarkStart w:id="403"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403"/>
    <w:bookmarkStart w:id="40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404"/>
    <w:bookmarkStart w:id="405"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405"/>
    <w:bookmarkStart w:id="407"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406">
        <w:r>
          <w:rPr>
            <w:rStyle w:val="Hyperlink"/>
          </w:rPr>
          <w:t xml:space="preserve">https://doi.org/10.3390/rs11060704</w:t>
        </w:r>
      </w:hyperlink>
    </w:p>
    <w:bookmarkEnd w:id="407"/>
    <w:bookmarkStart w:id="408"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408"/>
    <w:bookmarkStart w:id="409"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409"/>
    <w:bookmarkStart w:id="410"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410"/>
    <w:bookmarkStart w:id="411"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411"/>
    <w:bookmarkStart w:id="412" w:name="ref-meleder2018microphytobenthos"/>
    <w:p>
      <w:pPr>
        <w:pStyle w:val="Bibliography"/>
      </w:pPr>
      <w:r>
        <w:t xml:space="preserve">Méléder, V., Jesus, B., Barnett, A., Barillé, L., Lavaud, J., 2018. Microphytobenthos primary production estimated by hyperspectral reflectance. PloS one 13, e0197093.</w:t>
      </w:r>
    </w:p>
    <w:bookmarkEnd w:id="412"/>
    <w:bookmarkStart w:id="413"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413"/>
    <w:bookmarkStart w:id="415"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414">
        <w:r>
          <w:rPr>
            <w:rStyle w:val="Hyperlink"/>
          </w:rPr>
          <w:t xml:space="preserve">https://doi.org/10.1016/j.jphotobiol.2013.10.005</w:t>
        </w:r>
      </w:hyperlink>
    </w:p>
    <w:bookmarkEnd w:id="415"/>
    <w:bookmarkStart w:id="416"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416"/>
    <w:bookmarkStart w:id="417"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417"/>
    <w:bookmarkStart w:id="418"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418"/>
    <w:bookmarkStart w:id="420"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419">
        <w:r>
          <w:rPr>
            <w:rStyle w:val="Hyperlink"/>
          </w:rPr>
          <w:t xml:space="preserve">https://doi.org/10.1111/GCB.14108</w:t>
        </w:r>
      </w:hyperlink>
    </w:p>
    <w:bookmarkEnd w:id="420"/>
    <w:bookmarkStart w:id="421"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421"/>
    <w:bookmarkStart w:id="423"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422">
        <w:r>
          <w:rPr>
            <w:rStyle w:val="Hyperlink"/>
          </w:rPr>
          <w:t xml:space="preserve">https://doi.org/10.1038/s41598-021-83597-z</w:t>
        </w:r>
      </w:hyperlink>
    </w:p>
    <w:bookmarkEnd w:id="423"/>
    <w:bookmarkStart w:id="424" w:name="ref-moreira2022underexplored"/>
    <w:p>
      <w:pPr>
        <w:pStyle w:val="Bibliography"/>
      </w:pPr>
      <w:r>
        <w:t xml:space="preserve">Moreira, A., Cruz, S., Marques, R., Cartaxana, P., 2022. The underexplored potential of green macroalgae in aquaculture. Reviews in Aquaculture 14, 5–26.</w:t>
      </w:r>
    </w:p>
    <w:bookmarkEnd w:id="424"/>
    <w:bookmarkStart w:id="426"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425">
        <w:r>
          <w:rPr>
            <w:rStyle w:val="Hyperlink"/>
          </w:rPr>
          <w:t xml:space="preserve">https://doi.org/10.1017/s0031182002001476</w:t>
        </w:r>
      </w:hyperlink>
    </w:p>
    <w:bookmarkEnd w:id="426"/>
    <w:bookmarkStart w:id="427"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427"/>
    <w:bookmarkStart w:id="429"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428">
        <w:r>
          <w:rPr>
            <w:rStyle w:val="Hyperlink"/>
          </w:rPr>
          <w:t xml:space="preserve">https://doi.org/10.1002/eap.1682</w:t>
        </w:r>
      </w:hyperlink>
    </w:p>
    <w:bookmarkEnd w:id="429"/>
    <w:bookmarkStart w:id="430"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430"/>
    <w:bookmarkStart w:id="431"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431"/>
    <w:bookmarkStart w:id="432"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432"/>
    <w:bookmarkStart w:id="434"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433">
        <w:r>
          <w:rPr>
            <w:rStyle w:val="Hyperlink"/>
          </w:rPr>
          <w:t xml:space="preserve">https://doi.org/10.1038/s41586-018-0805-8</w:t>
        </w:r>
      </w:hyperlink>
    </w:p>
    <w:bookmarkEnd w:id="434"/>
    <w:bookmarkStart w:id="43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435"/>
    <w:bookmarkStart w:id="436" w:name="ref-nguyen2021"/>
    <w:p>
      <w:pPr>
        <w:pStyle w:val="Bibliography"/>
      </w:pPr>
      <w:r>
        <w:t xml:space="preserve">Nguyen, H.M., Ralph, P.J., Marı́n-Guirao, L., Pernice, M., Procaccini, G., 2021. Seagrasses in an era of ocean warming: A review. Biological Reviews 96, 2009–2030.</w:t>
      </w:r>
    </w:p>
    <w:bookmarkEnd w:id="436"/>
    <w:bookmarkStart w:id="43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437"/>
    <w:bookmarkStart w:id="439"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438">
        <w:r>
          <w:rPr>
            <w:rStyle w:val="Hyperlink"/>
          </w:rPr>
          <w:t xml:space="preserve">https://doi.org/10.1016/j.rse.2018.10.032</w:t>
        </w:r>
      </w:hyperlink>
    </w:p>
    <w:bookmarkEnd w:id="439"/>
    <w:bookmarkStart w:id="440"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440"/>
    <w:bookmarkStart w:id="441"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441"/>
    <w:bookmarkStart w:id="442" w:name="ref-n1999primary"/>
    <w:p>
      <w:pPr>
        <w:pStyle w:val="Bibliography"/>
      </w:pPr>
      <w:r>
        <w:t xml:space="preserve">N-Uptake, A., 1999. Primary production by phytoplankton and microphytobenthos in estuaries. Estuaries 29, 93.</w:t>
      </w:r>
    </w:p>
    <w:bookmarkEnd w:id="442"/>
    <w:bookmarkStart w:id="443"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443"/>
    <w:bookmarkStart w:id="444" w:name="ref-oh2017use"/>
    <w:p>
      <w:pPr>
        <w:pStyle w:val="Bibliography"/>
      </w:pPr>
      <w:r>
        <w:t xml:space="preserve">Oh, J., Kim, D., Lee, H., 2017. Use of a drone for mapping and time series image acquisition of tidal zones. Journal of the Korean Institute of Intelligent Systems 27, 119–125.</w:t>
      </w:r>
    </w:p>
    <w:bookmarkEnd w:id="444"/>
    <w:bookmarkStart w:id="446"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445">
        <w:r>
          <w:rPr>
            <w:rStyle w:val="Hyperlink"/>
          </w:rPr>
          <w:t xml:space="preserve">https://doi.org/10.1016/j.ecolind.2020.107184</w:t>
        </w:r>
      </w:hyperlink>
    </w:p>
    <w:bookmarkEnd w:id="446"/>
    <w:bookmarkStart w:id="447" w:name="ref-oiry2021using"/>
    <w:p>
      <w:pPr>
        <w:pStyle w:val="Bibliography"/>
      </w:pPr>
      <w:r>
        <w:t xml:space="preserve">Oiry, S., Barillé, L., 2021a. Using sentinel-2 satellite imagery to develop microphytobenthos-based water quality indices in estuaries. Ecological Indicators 121, 107184.</w:t>
      </w:r>
    </w:p>
    <w:bookmarkEnd w:id="447"/>
    <w:bookmarkStart w:id="449"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448">
        <w:r>
          <w:rPr>
            <w:rStyle w:val="Hyperlink"/>
          </w:rPr>
          <w:t xml:space="preserve">Vegan: Community ecology package</w:t>
        </w:r>
      </w:hyperlink>
      <w:r>
        <w:t xml:space="preserve">.</w:t>
      </w:r>
    </w:p>
    <w:bookmarkEnd w:id="449"/>
    <w:bookmarkStart w:id="451"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450">
        <w:r>
          <w:rPr>
            <w:rStyle w:val="Hyperlink"/>
          </w:rPr>
          <w:t xml:space="preserve">https://doi.org/10.3390/rs12233870</w:t>
        </w:r>
      </w:hyperlink>
    </w:p>
    <w:bookmarkEnd w:id="451"/>
    <w:bookmarkStart w:id="452"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452"/>
    <w:bookmarkStart w:id="453"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453"/>
    <w:bookmarkStart w:id="455"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454">
        <w:r>
          <w:rPr>
            <w:rStyle w:val="Hyperlink"/>
          </w:rPr>
          <w:t xml:space="preserve">https://doi.org/10.5281/zenodo.3463051</w:t>
        </w:r>
      </w:hyperlink>
    </w:p>
    <w:bookmarkEnd w:id="455"/>
    <w:bookmarkStart w:id="456"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456"/>
    <w:bookmarkStart w:id="457"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457"/>
    <w:bookmarkStart w:id="458"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458"/>
    <w:bookmarkStart w:id="459"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459"/>
    <w:bookmarkStart w:id="460" w:name="ref-Pereira2013"/>
    <w:p>
      <w:pPr>
        <w:pStyle w:val="Bibliography"/>
      </w:pPr>
      <w:r>
        <w:t xml:space="preserve">Pereira, H.M., Ferrier, S., Walters, M., Geller, G.N., Jongman, R.H., Scholes, R.J., Bruford, M.W., Brummitt, N., Butchart, S.H., Cardoso, A., others, 2013b. Essential biodiversity variables. Science 339, 277–278.</w:t>
      </w:r>
    </w:p>
    <w:bookmarkEnd w:id="460"/>
    <w:bookmarkStart w:id="46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461"/>
    <w:bookmarkStart w:id="462"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462"/>
    <w:bookmarkStart w:id="46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463"/>
    <w:bookmarkStart w:id="465" w:name="ref-R-base"/>
    <w:p>
      <w:pPr>
        <w:pStyle w:val="Bibliography"/>
      </w:pPr>
      <w:r>
        <w:t xml:space="preserve">R Core Team, 2023.</w:t>
      </w:r>
      <w:r>
        <w:t xml:space="preserve"> </w:t>
      </w:r>
      <w:hyperlink r:id="rId464">
        <w:r>
          <w:rPr>
            <w:rStyle w:val="Hyperlink"/>
          </w:rPr>
          <w:t xml:space="preserve">R: A language and environment for statistical computing</w:t>
        </w:r>
      </w:hyperlink>
      <w:r>
        <w:t xml:space="preserve">. R Foundation for Statistical Computing, Vienna, Austria.</w:t>
      </w:r>
    </w:p>
    <w:bookmarkEnd w:id="465"/>
    <w:bookmarkStart w:id="466"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466"/>
    <w:bookmarkStart w:id="467" w:name="ref-rasheed2011long"/>
    <w:p>
      <w:pPr>
        <w:pStyle w:val="Bibliography"/>
      </w:pPr>
      <w:r>
        <w:t xml:space="preserve">Rasheed, M.A., Unsworth, R.K., 2011. Long-term climate-associated dynamics of a tropical seagrass meadow: Implications for the future. Marine Ecology Progress Series 422, 93–103.</w:t>
      </w:r>
    </w:p>
    <w:bookmarkEnd w:id="467"/>
    <w:bookmarkStart w:id="468"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468"/>
    <w:bookmarkStart w:id="469"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469"/>
    <w:bookmarkStart w:id="47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470"/>
    <w:bookmarkStart w:id="47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471">
        <w:r>
          <w:rPr>
            <w:rStyle w:val="Hyperlink"/>
          </w:rPr>
          <w:t xml:space="preserve">https://doi.org/10.3389/fmars.2022.1004012</w:t>
        </w:r>
      </w:hyperlink>
    </w:p>
    <w:bookmarkEnd w:id="472"/>
    <w:bookmarkStart w:id="473" w:name="ref-Roman2021"/>
    <w:p>
      <w:pPr>
        <w:pStyle w:val="Bibliography"/>
      </w:pPr>
      <w:r>
        <w:t xml:space="preserve">Román, A., Tovar-Sánchez, A., Olivé, I., Navarro, G., 2021. Using a UAV-mounted multispectral camera for the monitoring of marine macrophytes. Frontiers in Marine Science 1225.</w:t>
      </w:r>
    </w:p>
    <w:bookmarkEnd w:id="473"/>
    <w:bookmarkStart w:id="474" w:name="ref-rossiter2020uav"/>
    <w:p>
      <w:pPr>
        <w:pStyle w:val="Bibliography"/>
      </w:pPr>
      <w:r>
        <w:t xml:space="preserve">Rossiter, T., Furey, T., McCarthy, T., Stengel, D.B., 2020. UAV-mounted hyperspectral mapping of intertidal macroalgae. Estuarine, Coastal and Shelf Science 242, 106789.</w:t>
      </w:r>
    </w:p>
    <w:bookmarkEnd w:id="474"/>
    <w:bookmarkStart w:id="475" w:name="ref-Sage2020"/>
    <w:p>
      <w:pPr>
        <w:pStyle w:val="Bibliography"/>
      </w:pPr>
      <w:r>
        <w:t xml:space="preserve">Sage, R.F., 2020. Global change biology: A primer. Global Change Biology 26, 3–30.</w:t>
      </w:r>
    </w:p>
    <w:bookmarkEnd w:id="475"/>
    <w:bookmarkStart w:id="476"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476"/>
    <w:bookmarkStart w:id="477"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477"/>
    <w:bookmarkStart w:id="479"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478">
        <w:r>
          <w:rPr>
            <w:rStyle w:val="Hyperlink"/>
          </w:rPr>
          <w:t xml:space="preserve">https://doi.org/10.1016/j.ecoser.2022.101414</w:t>
        </w:r>
      </w:hyperlink>
    </w:p>
    <w:bookmarkEnd w:id="479"/>
    <w:bookmarkStart w:id="481"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480">
        <w:r>
          <w:rPr>
            <w:rStyle w:val="Hyperlink"/>
          </w:rPr>
          <w:t xml:space="preserve">https://doi.org/10.3389/fevo.2021.767548</w:t>
        </w:r>
      </w:hyperlink>
    </w:p>
    <w:bookmarkEnd w:id="481"/>
    <w:bookmarkStart w:id="482" w:name="ref-Schmidt2003"/>
    <w:p>
      <w:pPr>
        <w:pStyle w:val="Bibliography"/>
      </w:pPr>
      <w:r>
        <w:t xml:space="preserve">Schmidt, K., Skidmore, A., 2003. Spectral discrimination of vegetation types in a coastal wetland. Remote sensing of Environment 85, 92–108.</w:t>
      </w:r>
    </w:p>
    <w:bookmarkEnd w:id="482"/>
    <w:bookmarkStart w:id="483" w:name="ref-schneider2012nih"/>
    <w:p>
      <w:pPr>
        <w:pStyle w:val="Bibliography"/>
      </w:pPr>
      <w:r>
        <w:t xml:space="preserve">Schneider, C.A., Rasband, W.S., Eliceiri, K.W., 2012. NIH image to ImageJ: 25 years of image analysis. Nature methods 9, 671–675.</w:t>
      </w:r>
    </w:p>
    <w:bookmarkEnd w:id="483"/>
    <w:bookmarkStart w:id="484"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484"/>
    <w:bookmarkStart w:id="486"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485">
        <w:r>
          <w:rPr>
            <w:rStyle w:val="Hyperlink"/>
          </w:rPr>
          <w:t xml:space="preserve">https://doi.org/10.3390/rs13081408</w:t>
        </w:r>
      </w:hyperlink>
    </w:p>
    <w:bookmarkEnd w:id="486"/>
    <w:bookmarkStart w:id="488"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487">
        <w:r>
          <w:rPr>
            <w:rStyle w:val="Hyperlink"/>
          </w:rPr>
          <w:t xml:space="preserve">https://doi.org/10.1016/j.marenvres.2021.105475</w:t>
        </w:r>
      </w:hyperlink>
    </w:p>
    <w:bookmarkEnd w:id="488"/>
    <w:bookmarkStart w:id="489"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489"/>
    <w:bookmarkStart w:id="491" w:name="ref-shom"/>
    <w:p>
      <w:pPr>
        <w:pStyle w:val="Bibliography"/>
      </w:pPr>
      <w:r>
        <w:t xml:space="preserve">SHOM, 2024.</w:t>
      </w:r>
      <w:r>
        <w:t xml:space="preserve"> </w:t>
      </w:r>
      <w:hyperlink r:id="rId490">
        <w:r>
          <w:rPr>
            <w:rStyle w:val="Hyperlink"/>
          </w:rPr>
          <w:t xml:space="preserve">Service hydrographique et océanographique de la marine (SHOM)</w:t>
        </w:r>
      </w:hyperlink>
      <w:r>
        <w:t xml:space="preserve">.</w:t>
      </w:r>
    </w:p>
    <w:bookmarkEnd w:id="491"/>
    <w:bookmarkStart w:id="493" w:name="Xbef41143b4d4042e58f11cfc27e216202646012"/>
    <w:p>
      <w:pPr>
        <w:pStyle w:val="Bibliography"/>
      </w:pPr>
      <w:r>
        <w:t xml:space="preserve">SHOM, 2021.</w:t>
      </w:r>
      <w:r>
        <w:t xml:space="preserve"> </w:t>
      </w:r>
      <w:hyperlink r:id="rId492">
        <w:r>
          <w:rPr>
            <w:rStyle w:val="Hyperlink"/>
          </w:rPr>
          <w:t xml:space="preserve">Service hydrographique et océanographique de la marine ; bathymétrie Litto3D® bretagne 2018-2021</w:t>
        </w:r>
      </w:hyperlink>
      <w:r>
        <w:t xml:space="preserve">.</w:t>
      </w:r>
    </w:p>
    <w:bookmarkEnd w:id="493"/>
    <w:bookmarkStart w:id="49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494"/>
    <w:bookmarkStart w:id="496" w:name="ref-Slaton2001"/>
    <w:p>
      <w:pPr>
        <w:pStyle w:val="Bibliography"/>
      </w:pPr>
      <w:r>
        <w:t xml:space="preserve">Slaton, M.R., Raymond Hunt Jr., E., Smith, W.K., 2001. Estimating near-infrared leaf reflectance from leaf structural characteristics. American Journal of Botany 88, 278–284. https://doi.org/</w:t>
      </w:r>
      <w:hyperlink r:id="rId495">
        <w:r>
          <w:rPr>
            <w:rStyle w:val="Hyperlink"/>
          </w:rPr>
          <w:t xml:space="preserve">https://doi.org/10.2307/2657019</w:t>
        </w:r>
      </w:hyperlink>
    </w:p>
    <w:bookmarkEnd w:id="496"/>
    <w:bookmarkStart w:id="49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497"/>
    <w:bookmarkStart w:id="498"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498"/>
    <w:bookmarkStart w:id="499"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499"/>
    <w:bookmarkStart w:id="500" w:name="ref-steinmetz2011atmospheric"/>
    <w:p>
      <w:pPr>
        <w:pStyle w:val="Bibliography"/>
      </w:pPr>
      <w:r>
        <w:t xml:space="preserve">Steinmetz, F., Deschamps, P.-Y., Ramon, D., 2011. Atmospheric correction in presence of sun glint: Application to MERIS. Optics express 19, 9783–9800.</w:t>
      </w:r>
    </w:p>
    <w:bookmarkEnd w:id="500"/>
    <w:bookmarkStart w:id="501"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501"/>
    <w:bookmarkStart w:id="502"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502"/>
    <w:bookmarkStart w:id="50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503"/>
    <w:bookmarkStart w:id="50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504"/>
    <w:bookmarkStart w:id="50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505"/>
    <w:bookmarkStart w:id="507" w:name="ref-Traganos2018"/>
    <w:p>
      <w:pPr>
        <w:pStyle w:val="Bibliography"/>
      </w:pPr>
      <w:r>
        <w:t xml:space="preserve">Traganos, D., Reinartz, P., 2018. Mapping mediterranean seagrasses with sentinel-2 imagery. Marine Pollution Bulletin 134, 197–209.</w:t>
      </w:r>
      <w:r>
        <w:t xml:space="preserve"> </w:t>
      </w:r>
      <w:hyperlink r:id="rId506">
        <w:r>
          <w:rPr>
            <w:rStyle w:val="Hyperlink"/>
          </w:rPr>
          <w:t xml:space="preserve">https://doi.org/10.1016/j.marpolbul.2017.06.075</w:t>
        </w:r>
      </w:hyperlink>
    </w:p>
    <w:bookmarkEnd w:id="507"/>
    <w:bookmarkStart w:id="50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508"/>
    <w:bookmarkStart w:id="50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509"/>
    <w:bookmarkStart w:id="510" w:name="ref-Unsworth2022"/>
    <w:p>
      <w:pPr>
        <w:pStyle w:val="Bibliography"/>
      </w:pPr>
      <w:r>
        <w:t xml:space="preserve">Unsworth, R.K., Cullen-Unsworth, L.C., Jones, B.L., Lilley, R.J., 2022a. The planetary role of seagrass conservation. Science 377, 609–613.</w:t>
      </w:r>
    </w:p>
    <w:bookmarkEnd w:id="510"/>
    <w:bookmarkStart w:id="511" w:name="ref-unsworth2022"/>
    <w:p>
      <w:pPr>
        <w:pStyle w:val="Bibliography"/>
      </w:pPr>
      <w:r>
        <w:t xml:space="preserve">Unsworth, R.K., Cullen-Unsworth, L.C., Jones, B.L., Lilley, R.J., 2022b. The planetary role of seagrass conservation. Science 377, 609–613.</w:t>
      </w:r>
    </w:p>
    <w:bookmarkEnd w:id="511"/>
    <w:bookmarkStart w:id="513"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512">
        <w:r>
          <w:rPr>
            <w:rStyle w:val="Hyperlink"/>
          </w:rPr>
          <w:t xml:space="preserve">https://doi.org/10.1007/s13280-018-1115-y</w:t>
        </w:r>
      </w:hyperlink>
    </w:p>
    <w:bookmarkEnd w:id="513"/>
    <w:bookmarkStart w:id="515"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514">
        <w:r>
          <w:rPr>
            <w:rStyle w:val="Hyperlink"/>
          </w:rPr>
          <w:t xml:space="preserve">https://doi.org/10.1111/conl.12566</w:t>
        </w:r>
      </w:hyperlink>
    </w:p>
    <w:bookmarkEnd w:id="515"/>
    <w:bookmarkStart w:id="516" w:name="ref-unsworth2019global"/>
    <w:p>
      <w:pPr>
        <w:pStyle w:val="Bibliography"/>
      </w:pPr>
      <w:r>
        <w:t xml:space="preserve">Unsworth, R.K., McKenzie, L.J., Collier, C.J., Cullen-Unsworth, L.C., Duarte, C.M., Eklöf, J.S., Jarvis, J.C., Jones, B.L., Nordlund, L.M., 2019. Global challenges for seagrass conservation. Ambio 48, 801–815.</w:t>
      </w:r>
    </w:p>
    <w:bookmarkEnd w:id="516"/>
    <w:bookmarkStart w:id="517"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517"/>
    <w:bookmarkStart w:id="519"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518">
        <w:r>
          <w:rPr>
            <w:rStyle w:val="Hyperlink"/>
          </w:rPr>
          <w:t xml:space="preserve">https://doi.org/10.1641/0006-3568(2004)054[0523:UISTSE]2.0.CO;2</w:t>
        </w:r>
      </w:hyperlink>
    </w:p>
    <w:bookmarkEnd w:id="519"/>
    <w:bookmarkStart w:id="520" w:name="ref-valderrama2013social"/>
    <w:p>
      <w:pPr>
        <w:pStyle w:val="Bibliography"/>
      </w:pPr>
      <w:r>
        <w:t xml:space="preserve">Valderrama, D., Cai, J., Hishamunda, N., Ridler, N., 2013. Social and economic dimensions of carrageenan seaweed farming.</w:t>
      </w:r>
    </w:p>
    <w:bookmarkEnd w:id="520"/>
    <w:bookmarkStart w:id="522"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521">
        <w:r>
          <w:rPr>
            <w:rStyle w:val="Hyperlink"/>
          </w:rPr>
          <w:t xml:space="preserve">https://doi.org/10.1127/0340-269X/2003/0033-0187</w:t>
        </w:r>
      </w:hyperlink>
    </w:p>
    <w:bookmarkEnd w:id="522"/>
    <w:bookmarkStart w:id="523"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523"/>
    <w:bookmarkStart w:id="524"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524"/>
    <w:bookmarkStart w:id="525"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525"/>
    <w:bookmarkStart w:id="52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526"/>
    <w:bookmarkStart w:id="52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527"/>
    <w:bookmarkStart w:id="528" w:name="ref-wang2022"/>
    <w:p>
      <w:pPr>
        <w:pStyle w:val="Bibliography"/>
      </w:pPr>
      <w:r>
        <w:t xml:space="preserve">Wang, Z., Fang, Z., Liang, J., Song, X., 2022. Assessment of global habitat suitability and risk of ocean green tides. Harmful Algae 119, 102324.</w:t>
      </w:r>
    </w:p>
    <w:bookmarkEnd w:id="528"/>
    <w:bookmarkStart w:id="530" w:name="ref-WEI2015399"/>
    <w:p>
      <w:pPr>
        <w:pStyle w:val="Bibliography"/>
      </w:pPr>
      <w:r>
        <w:t xml:space="preserve">Wei, P., Lu, Z., Song, J., 2015. Variable importance analysis: A comprehensive review. Reliability Engineering and System Safety 142, 399–432. https://doi.org/</w:t>
      </w:r>
      <w:hyperlink r:id="rId529">
        <w:r>
          <w:rPr>
            <w:rStyle w:val="Hyperlink"/>
          </w:rPr>
          <w:t xml:space="preserve">https://doi.org/10.1016/j.ress.2015.05.018</w:t>
        </w:r>
      </w:hyperlink>
    </w:p>
    <w:bookmarkEnd w:id="530"/>
    <w:bookmarkStart w:id="531"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531"/>
    <w:bookmarkStart w:id="533" w:name="ref-R-ranger"/>
    <w:p>
      <w:pPr>
        <w:pStyle w:val="Bibliography"/>
      </w:pPr>
      <w:r>
        <w:t xml:space="preserve">Wright, M.N., 2024.</w:t>
      </w:r>
      <w:r>
        <w:t xml:space="preserve"> </w:t>
      </w:r>
      <w:hyperlink r:id="rId532">
        <w:r>
          <w:rPr>
            <w:rStyle w:val="Hyperlink"/>
          </w:rPr>
          <w:t xml:space="preserve">Ranger: A fast implementation of random forests</w:t>
        </w:r>
      </w:hyperlink>
      <w:r>
        <w:t xml:space="preserve">.</w:t>
      </w:r>
    </w:p>
    <w:bookmarkEnd w:id="533"/>
    <w:bookmarkStart w:id="534"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534"/>
    <w:bookmarkStart w:id="536"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535">
        <w:r>
          <w:rPr>
            <w:rStyle w:val="Hyperlink"/>
          </w:rPr>
          <w:t xml:space="preserve">https://doi.org/10.1155/2017/1353691</w:t>
        </w:r>
      </w:hyperlink>
    </w:p>
    <w:bookmarkEnd w:id="536"/>
    <w:bookmarkStart w:id="537"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537"/>
    <w:bookmarkStart w:id="538" w:name="ref-zhu2021deep"/>
    <w:p>
      <w:pPr>
        <w:pStyle w:val="Bibliography"/>
      </w:pPr>
      <w:r>
        <w:t xml:space="preserve">Zhu, Y., Huang, R., Wu, Z., Song, S., Cheng, L., Zhu, R., 2021. Deep learning-based predictive identification of neural stem cell differentiation. Nature communications 12, 2614.</w:t>
      </w:r>
    </w:p>
    <w:bookmarkEnd w:id="538"/>
    <w:bookmarkStart w:id="539"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539"/>
    <w:bookmarkStart w:id="541"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540">
        <w:r>
          <w:rPr>
            <w:rStyle w:val="Hyperlink"/>
          </w:rPr>
          <w:t xml:space="preserve">https://doi.org/10.1016/j.ecolind.2021.108033</w:t>
        </w:r>
      </w:hyperlink>
    </w:p>
    <w:bookmarkEnd w:id="541"/>
    <w:bookmarkStart w:id="542"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542"/>
    <w:bookmarkStart w:id="54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543"/>
    <w:bookmarkStart w:id="544"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544"/>
    <w:bookmarkStart w:id="546"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545">
        <w:r>
          <w:rPr>
            <w:rStyle w:val="Hyperlink"/>
          </w:rPr>
          <w:t xml:space="preserve">https://doi.org/10.1016/j.rse.2020.112020</w:t>
        </w:r>
      </w:hyperlink>
    </w:p>
    <w:bookmarkEnd w:id="546"/>
    <w:bookmarkStart w:id="547"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545">
        <w:r>
          <w:rPr>
            <w:rStyle w:val="Hyperlink"/>
          </w:rPr>
          <w:t xml:space="preserve">https://doi.org/10.1016/j.rse.2020.112020</w:t>
        </w:r>
      </w:hyperlink>
    </w:p>
    <w:bookmarkEnd w:id="547"/>
    <w:bookmarkEnd w:id="548"/>
    <w:bookmarkEnd w:id="54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45" Target="media/rId45.png" /><Relationship Type="http://schemas.openxmlformats.org/officeDocument/2006/relationships/image" Id="rId75" Target="media/rId75.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90" Target="media/rId90.jpg" /><Relationship Type="http://schemas.openxmlformats.org/officeDocument/2006/relationships/image" Id="rId94" Target="media/rId94.jpg" /><Relationship Type="http://schemas.openxmlformats.org/officeDocument/2006/relationships/image" Id="rId99" Target="media/rId99.jpg" /><Relationship Type="http://schemas.openxmlformats.org/officeDocument/2006/relationships/image" Id="rId108" Target="media/rId108.jpg" /><Relationship Type="http://schemas.openxmlformats.org/officeDocument/2006/relationships/image" Id="rId113" Target="media/rId113.jpg" /><Relationship Type="http://schemas.openxmlformats.org/officeDocument/2006/relationships/image" Id="rId118" Target="media/rId118.jpg" /><Relationship Type="http://schemas.openxmlformats.org/officeDocument/2006/relationships/image" Id="rId126" Target="media/rId126.jpg" /><Relationship Type="http://schemas.openxmlformats.org/officeDocument/2006/relationships/image" Id="rId130" Target="media/rId130.jpg" /><Relationship Type="http://schemas.openxmlformats.org/officeDocument/2006/relationships/image" Id="rId135" Target="media/rId135.jp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42" Target="media/rId142.png" /><Relationship Type="http://schemas.openxmlformats.org/officeDocument/2006/relationships/image" Id="rId153" Target="media/rId153.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158" Target="media/rId158.png" /><Relationship Type="http://schemas.openxmlformats.org/officeDocument/2006/relationships/image" Id="rId174" Target="media/rId174.png" /><Relationship Type="http://schemas.openxmlformats.org/officeDocument/2006/relationships/hyperlink" Id="rId253"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4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84" Target="https://doi.org/10.1007/s00227-012-1987-5" TargetMode="External" /><Relationship Type="http://schemas.openxmlformats.org/officeDocument/2006/relationships/hyperlink" Id="rId266" Target="https://doi.org/10.1007/s003380050055" TargetMode="External" /><Relationship Type="http://schemas.openxmlformats.org/officeDocument/2006/relationships/hyperlink" Id="rId268" Target="https://doi.org/10.1007/s12237-021-00949-8" TargetMode="External" /><Relationship Type="http://schemas.openxmlformats.org/officeDocument/2006/relationships/hyperlink" Id="rId512" Target="https://doi.org/10.1007/s13280-018-1115-y" TargetMode="External" /><Relationship Type="http://schemas.openxmlformats.org/officeDocument/2006/relationships/hyperlink" Id="rId287" Target="https://doi.org/10.1016/j.algal.2017.04.021" TargetMode="External" /><Relationship Type="http://schemas.openxmlformats.org/officeDocument/2006/relationships/hyperlink" Id="rId263" Target="https://doi.org/10.1016/j.aquabot.2009.11.006" TargetMode="External" /><Relationship Type="http://schemas.openxmlformats.org/officeDocument/2006/relationships/hyperlink" Id="rId282" Target="https://doi.org/10.1016/j.csr.2013.01.010" TargetMode="External" /><Relationship Type="http://schemas.openxmlformats.org/officeDocument/2006/relationships/hyperlink" Id="rId297" Target="https://doi.org/10.1016/j.ecolind.2020.107018" TargetMode="External" /><Relationship Type="http://schemas.openxmlformats.org/officeDocument/2006/relationships/hyperlink" Id="rId445" Target="https://doi.org/10.1016/j.ecolind.2020.107184" TargetMode="External" /><Relationship Type="http://schemas.openxmlformats.org/officeDocument/2006/relationships/hyperlink" Id="rId540" Target="https://doi.org/10.1016/j.ecolind.2021.108033" TargetMode="External" /><Relationship Type="http://schemas.openxmlformats.org/officeDocument/2006/relationships/hyperlink" Id="rId478" Target="https://doi.org/10.1016/j.ecoser.2022.101414" TargetMode="External" /><Relationship Type="http://schemas.openxmlformats.org/officeDocument/2006/relationships/hyperlink" Id="rId385" Target="https://doi.org/10.1016/j.ecss.2005.12.004" TargetMode="External" /><Relationship Type="http://schemas.openxmlformats.org/officeDocument/2006/relationships/hyperlink" Id="rId339" Target="https://doi.org/10.1016/j.ecss.2021.107320" TargetMode="External" /><Relationship Type="http://schemas.openxmlformats.org/officeDocument/2006/relationships/hyperlink" Id="rId356" Target="https://doi.org/10.1016/j.envpol.2021.117731" TargetMode="External" /><Relationship Type="http://schemas.openxmlformats.org/officeDocument/2006/relationships/hyperlink" Id="rId258" Target="https://doi.org/10.1016/j.jembe.2013.04.012" TargetMode="External" /><Relationship Type="http://schemas.openxmlformats.org/officeDocument/2006/relationships/hyperlink" Id="rId414" Target="https://doi.org/10.1016/j.jphotobiol.2013.10.005" TargetMode="External" /><Relationship Type="http://schemas.openxmlformats.org/officeDocument/2006/relationships/hyperlink" Id="rId487" Target="https://doi.org/10.1016/j.marenvres.2021.105475" TargetMode="External" /><Relationship Type="http://schemas.openxmlformats.org/officeDocument/2006/relationships/hyperlink" Id="rId506" Target="https://doi.org/10.1016/j.marpolbul.2017.06.075" TargetMode="External" /><Relationship Type="http://schemas.openxmlformats.org/officeDocument/2006/relationships/hyperlink" Id="rId529" Target="https://doi.org/10.1016/j.ress.2015.05.018" TargetMode="External" /><Relationship Type="http://schemas.openxmlformats.org/officeDocument/2006/relationships/hyperlink" Id="rId261" Target="https://doi.org/10.1016/j.rse.2010.12.008" TargetMode="External" /><Relationship Type="http://schemas.openxmlformats.org/officeDocument/2006/relationships/hyperlink" Id="rId315" Target="https://doi.org/10.1016/j.rse.2015.01.027" TargetMode="External" /><Relationship Type="http://schemas.openxmlformats.org/officeDocument/2006/relationships/hyperlink" Id="rId353" Target="https://doi.org/10.1016/j.rse.2015.05.023" TargetMode="External" /><Relationship Type="http://schemas.openxmlformats.org/officeDocument/2006/relationships/hyperlink" Id="rId359" Target="https://doi.org/10.1016/j.rse.2017.01.037" TargetMode="External" /><Relationship Type="http://schemas.openxmlformats.org/officeDocument/2006/relationships/hyperlink" Id="rId438" Target="https://doi.org/10.1016/j.rse.2018.10.032" TargetMode="External" /><Relationship Type="http://schemas.openxmlformats.org/officeDocument/2006/relationships/hyperlink" Id="rId545" Target="https://doi.org/10.1016/j.rse.2020.112020" TargetMode="External" /><Relationship Type="http://schemas.openxmlformats.org/officeDocument/2006/relationships/hyperlink" Id="rId302" Target="https://doi.org/10.1016/j.rse.2023.113554" TargetMode="External" /><Relationship Type="http://schemas.openxmlformats.org/officeDocument/2006/relationships/hyperlink" Id="rId425" Target="https://doi.org/10.1017/s0031182002001476" TargetMode="External" /><Relationship Type="http://schemas.openxmlformats.org/officeDocument/2006/relationships/hyperlink" Id="rId433" Target="https://doi.org/10.1038/s41586-018-0805-8" TargetMode="External" /><Relationship Type="http://schemas.openxmlformats.org/officeDocument/2006/relationships/hyperlink" Id="rId422" Target="https://doi.org/10.1038/s41598-021-83597-z" TargetMode="External" /><Relationship Type="http://schemas.openxmlformats.org/officeDocument/2006/relationships/hyperlink" Id="rId379" Target="https://doi.org/10.1063/1.44433" TargetMode="External" /><Relationship Type="http://schemas.openxmlformats.org/officeDocument/2006/relationships/hyperlink" Id="rId419" Target="https://doi.org/10.1111/GCB.14108" TargetMode="External" /><Relationship Type="http://schemas.openxmlformats.org/officeDocument/2006/relationships/hyperlink" Id="rId514" Target="https://doi.org/10.1111/conl.12566" TargetMode="External" /><Relationship Type="http://schemas.openxmlformats.org/officeDocument/2006/relationships/hyperlink" Id="rId521" Target="https://doi.org/10.1127/0340-269X/2003/0033-0187" TargetMode="External" /><Relationship Type="http://schemas.openxmlformats.org/officeDocument/2006/relationships/hyperlink" Id="rId278" Target="https://doi.org/10.1139/cjfas-2016-0137" TargetMode="External" /><Relationship Type="http://schemas.openxmlformats.org/officeDocument/2006/relationships/hyperlink" Id="rId535" Target="https://doi.org/10.1155/2017/1353691" TargetMode="External" /><Relationship Type="http://schemas.openxmlformats.org/officeDocument/2006/relationships/hyperlink" Id="rId371" Target="https://doi.org/10.1177/0309133309339563" TargetMode="External" /><Relationship Type="http://schemas.openxmlformats.org/officeDocument/2006/relationships/hyperlink" Id="rId307" Target="https://doi.org/10.15468/n4ak6x" TargetMode="External" /><Relationship Type="http://schemas.openxmlformats.org/officeDocument/2006/relationships/hyperlink" Id="rId518" Target="https://doi.org/10.1641/0006-3568(2004)054[0523:UISTSE]2.0.CO;2" TargetMode="External" /><Relationship Type="http://schemas.openxmlformats.org/officeDocument/2006/relationships/hyperlink" Id="rId495" Target="https://doi.org/10.2307/2657019" TargetMode="External" /><Relationship Type="http://schemas.openxmlformats.org/officeDocument/2006/relationships/hyperlink" Id="rId480" Target="https://doi.org/10.3389/fevo.2021.767548" TargetMode="External" /><Relationship Type="http://schemas.openxmlformats.org/officeDocument/2006/relationships/hyperlink" Id="rId471" Target="https://doi.org/10.3389/fmars.2022.1004012" TargetMode="External" /><Relationship Type="http://schemas.openxmlformats.org/officeDocument/2006/relationships/hyperlink" Id="rId275" Target="https://doi.org/10.3390/RS14020307" TargetMode="External" /><Relationship Type="http://schemas.openxmlformats.org/officeDocument/2006/relationships/hyperlink" Id="rId350" Target="https://doi.org/10.3390/app8122688" TargetMode="External" /><Relationship Type="http://schemas.openxmlformats.org/officeDocument/2006/relationships/hyperlink" Id="rId406" Target="https://doi.org/10.3390/rs11060704" TargetMode="External" /><Relationship Type="http://schemas.openxmlformats.org/officeDocument/2006/relationships/hyperlink" Id="rId450" Target="https://doi.org/10.3390/rs12233870" TargetMode="External" /><Relationship Type="http://schemas.openxmlformats.org/officeDocument/2006/relationships/hyperlink" Id="rId485" Target="https://doi.org/10.3390/rs13081408" TargetMode="External" /><Relationship Type="http://schemas.openxmlformats.org/officeDocument/2006/relationships/hyperlink" Id="rId319" Target="https://doi.org/10.3390/rs14020346" TargetMode="External" /><Relationship Type="http://schemas.openxmlformats.org/officeDocument/2006/relationships/hyperlink" Id="rId335" Target="https://doi.org/10.4319/lo.2003.48.1_part_2.0464" TargetMode="External" /><Relationship Type="http://schemas.openxmlformats.org/officeDocument/2006/relationships/hyperlink" Id="rId454" Target="https://doi.org/10.5281/zenodo.3463051" TargetMode="External" /><Relationship Type="http://schemas.openxmlformats.org/officeDocument/2006/relationships/hyperlink" Id="rId343" Target="https://github.com/koalaverse/vip/" TargetMode="External" /><Relationship Type="http://schemas.openxmlformats.org/officeDocument/2006/relationships/hyperlink" Id="rId381" Target="https://github.com/tidymodels/yardstick" TargetMode="External" /><Relationship Type="http://schemas.openxmlformats.org/officeDocument/2006/relationships/hyperlink" Id="rId448" Target="https://github.com/vegandevs/vegan" TargetMode="External" /><Relationship Type="http://schemas.openxmlformats.org/officeDocument/2006/relationships/hyperlink" Id="rId532" Target="https://imbs-hl.github.io/ranger/" TargetMode="External" /><Relationship Type="http://schemas.openxmlformats.org/officeDocument/2006/relationships/hyperlink" Id="rId273"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32" Target="https://rsample.tidymodels.org" TargetMode="External" /><Relationship Type="http://schemas.openxmlformats.org/officeDocument/2006/relationships/hyperlink" Id="rId492" Target="https://services.data.shom.fr/geonetwork/srv/fre/catalog.search#/metadata/BATHYMETRIE_LITTO3D_BZH_2018_2021.xml" TargetMode="External" /><Relationship Type="http://schemas.openxmlformats.org/officeDocument/2006/relationships/hyperlink" Id="rId464" Target="https://www.R-project.org/" TargetMode="External" /><Relationship Type="http://schemas.openxmlformats.org/officeDocument/2006/relationships/hyperlink" Id="rId249" Target="https://www.agisoft.com/" TargetMode="External" /><Relationship Type="http://schemas.openxmlformats.org/officeDocument/2006/relationships/hyperlink" Id="rId361" Target="https://www.ign.fr" TargetMode="External" /><Relationship Type="http://schemas.openxmlformats.org/officeDocument/2006/relationships/hyperlink" Id="rId368" Target="https://www.imo.org" TargetMode="External" /><Relationship Type="http://schemas.openxmlformats.org/officeDocument/2006/relationships/hyperlink" Id="rId364"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90" Target="https://www.shom.fr" TargetMode="External" /><Relationship Type="http://schemas.openxmlformats.org/officeDocument/2006/relationships/hyperlink" Id="rId383"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53"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4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84" Target="https://doi.org/10.1007/s00227-012-1987-5" TargetMode="External" /><Relationship Type="http://schemas.openxmlformats.org/officeDocument/2006/relationships/hyperlink" Id="rId266" Target="https://doi.org/10.1007/s003380050055" TargetMode="External" /><Relationship Type="http://schemas.openxmlformats.org/officeDocument/2006/relationships/hyperlink" Id="rId268" Target="https://doi.org/10.1007/s12237-021-00949-8" TargetMode="External" /><Relationship Type="http://schemas.openxmlformats.org/officeDocument/2006/relationships/hyperlink" Id="rId512" Target="https://doi.org/10.1007/s13280-018-1115-y" TargetMode="External" /><Relationship Type="http://schemas.openxmlformats.org/officeDocument/2006/relationships/hyperlink" Id="rId287" Target="https://doi.org/10.1016/j.algal.2017.04.021" TargetMode="External" /><Relationship Type="http://schemas.openxmlformats.org/officeDocument/2006/relationships/hyperlink" Id="rId263" Target="https://doi.org/10.1016/j.aquabot.2009.11.006" TargetMode="External" /><Relationship Type="http://schemas.openxmlformats.org/officeDocument/2006/relationships/hyperlink" Id="rId282" Target="https://doi.org/10.1016/j.csr.2013.01.010" TargetMode="External" /><Relationship Type="http://schemas.openxmlformats.org/officeDocument/2006/relationships/hyperlink" Id="rId297" Target="https://doi.org/10.1016/j.ecolind.2020.107018" TargetMode="External" /><Relationship Type="http://schemas.openxmlformats.org/officeDocument/2006/relationships/hyperlink" Id="rId445" Target="https://doi.org/10.1016/j.ecolind.2020.107184" TargetMode="External" /><Relationship Type="http://schemas.openxmlformats.org/officeDocument/2006/relationships/hyperlink" Id="rId540" Target="https://doi.org/10.1016/j.ecolind.2021.108033" TargetMode="External" /><Relationship Type="http://schemas.openxmlformats.org/officeDocument/2006/relationships/hyperlink" Id="rId478" Target="https://doi.org/10.1016/j.ecoser.2022.101414" TargetMode="External" /><Relationship Type="http://schemas.openxmlformats.org/officeDocument/2006/relationships/hyperlink" Id="rId385" Target="https://doi.org/10.1016/j.ecss.2005.12.004" TargetMode="External" /><Relationship Type="http://schemas.openxmlformats.org/officeDocument/2006/relationships/hyperlink" Id="rId339" Target="https://doi.org/10.1016/j.ecss.2021.107320" TargetMode="External" /><Relationship Type="http://schemas.openxmlformats.org/officeDocument/2006/relationships/hyperlink" Id="rId356" Target="https://doi.org/10.1016/j.envpol.2021.117731" TargetMode="External" /><Relationship Type="http://schemas.openxmlformats.org/officeDocument/2006/relationships/hyperlink" Id="rId258" Target="https://doi.org/10.1016/j.jembe.2013.04.012" TargetMode="External" /><Relationship Type="http://schemas.openxmlformats.org/officeDocument/2006/relationships/hyperlink" Id="rId414" Target="https://doi.org/10.1016/j.jphotobiol.2013.10.005" TargetMode="External" /><Relationship Type="http://schemas.openxmlformats.org/officeDocument/2006/relationships/hyperlink" Id="rId487" Target="https://doi.org/10.1016/j.marenvres.2021.105475" TargetMode="External" /><Relationship Type="http://schemas.openxmlformats.org/officeDocument/2006/relationships/hyperlink" Id="rId506" Target="https://doi.org/10.1016/j.marpolbul.2017.06.075" TargetMode="External" /><Relationship Type="http://schemas.openxmlformats.org/officeDocument/2006/relationships/hyperlink" Id="rId529" Target="https://doi.org/10.1016/j.ress.2015.05.018" TargetMode="External" /><Relationship Type="http://schemas.openxmlformats.org/officeDocument/2006/relationships/hyperlink" Id="rId261" Target="https://doi.org/10.1016/j.rse.2010.12.008" TargetMode="External" /><Relationship Type="http://schemas.openxmlformats.org/officeDocument/2006/relationships/hyperlink" Id="rId315" Target="https://doi.org/10.1016/j.rse.2015.01.027" TargetMode="External" /><Relationship Type="http://schemas.openxmlformats.org/officeDocument/2006/relationships/hyperlink" Id="rId353" Target="https://doi.org/10.1016/j.rse.2015.05.023" TargetMode="External" /><Relationship Type="http://schemas.openxmlformats.org/officeDocument/2006/relationships/hyperlink" Id="rId359" Target="https://doi.org/10.1016/j.rse.2017.01.037" TargetMode="External" /><Relationship Type="http://schemas.openxmlformats.org/officeDocument/2006/relationships/hyperlink" Id="rId438" Target="https://doi.org/10.1016/j.rse.2018.10.032" TargetMode="External" /><Relationship Type="http://schemas.openxmlformats.org/officeDocument/2006/relationships/hyperlink" Id="rId545" Target="https://doi.org/10.1016/j.rse.2020.112020" TargetMode="External" /><Relationship Type="http://schemas.openxmlformats.org/officeDocument/2006/relationships/hyperlink" Id="rId302" Target="https://doi.org/10.1016/j.rse.2023.113554" TargetMode="External" /><Relationship Type="http://schemas.openxmlformats.org/officeDocument/2006/relationships/hyperlink" Id="rId425" Target="https://doi.org/10.1017/s0031182002001476" TargetMode="External" /><Relationship Type="http://schemas.openxmlformats.org/officeDocument/2006/relationships/hyperlink" Id="rId433" Target="https://doi.org/10.1038/s41586-018-0805-8" TargetMode="External" /><Relationship Type="http://schemas.openxmlformats.org/officeDocument/2006/relationships/hyperlink" Id="rId422" Target="https://doi.org/10.1038/s41598-021-83597-z" TargetMode="External" /><Relationship Type="http://schemas.openxmlformats.org/officeDocument/2006/relationships/hyperlink" Id="rId379" Target="https://doi.org/10.1063/1.44433" TargetMode="External" /><Relationship Type="http://schemas.openxmlformats.org/officeDocument/2006/relationships/hyperlink" Id="rId419" Target="https://doi.org/10.1111/GCB.14108" TargetMode="External" /><Relationship Type="http://schemas.openxmlformats.org/officeDocument/2006/relationships/hyperlink" Id="rId514" Target="https://doi.org/10.1111/conl.12566" TargetMode="External" /><Relationship Type="http://schemas.openxmlformats.org/officeDocument/2006/relationships/hyperlink" Id="rId521" Target="https://doi.org/10.1127/0340-269X/2003/0033-0187" TargetMode="External" /><Relationship Type="http://schemas.openxmlformats.org/officeDocument/2006/relationships/hyperlink" Id="rId278" Target="https://doi.org/10.1139/cjfas-2016-0137" TargetMode="External" /><Relationship Type="http://schemas.openxmlformats.org/officeDocument/2006/relationships/hyperlink" Id="rId535" Target="https://doi.org/10.1155/2017/1353691" TargetMode="External" /><Relationship Type="http://schemas.openxmlformats.org/officeDocument/2006/relationships/hyperlink" Id="rId371" Target="https://doi.org/10.1177/0309133309339563" TargetMode="External" /><Relationship Type="http://schemas.openxmlformats.org/officeDocument/2006/relationships/hyperlink" Id="rId307" Target="https://doi.org/10.15468/n4ak6x" TargetMode="External" /><Relationship Type="http://schemas.openxmlformats.org/officeDocument/2006/relationships/hyperlink" Id="rId518" Target="https://doi.org/10.1641/0006-3568(2004)054[0523:UISTSE]2.0.CO;2" TargetMode="External" /><Relationship Type="http://schemas.openxmlformats.org/officeDocument/2006/relationships/hyperlink" Id="rId495" Target="https://doi.org/10.2307/2657019" TargetMode="External" /><Relationship Type="http://schemas.openxmlformats.org/officeDocument/2006/relationships/hyperlink" Id="rId480" Target="https://doi.org/10.3389/fevo.2021.767548" TargetMode="External" /><Relationship Type="http://schemas.openxmlformats.org/officeDocument/2006/relationships/hyperlink" Id="rId471" Target="https://doi.org/10.3389/fmars.2022.1004012" TargetMode="External" /><Relationship Type="http://schemas.openxmlformats.org/officeDocument/2006/relationships/hyperlink" Id="rId275" Target="https://doi.org/10.3390/RS14020307" TargetMode="External" /><Relationship Type="http://schemas.openxmlformats.org/officeDocument/2006/relationships/hyperlink" Id="rId350" Target="https://doi.org/10.3390/app8122688" TargetMode="External" /><Relationship Type="http://schemas.openxmlformats.org/officeDocument/2006/relationships/hyperlink" Id="rId406" Target="https://doi.org/10.3390/rs11060704" TargetMode="External" /><Relationship Type="http://schemas.openxmlformats.org/officeDocument/2006/relationships/hyperlink" Id="rId450" Target="https://doi.org/10.3390/rs12233870" TargetMode="External" /><Relationship Type="http://schemas.openxmlformats.org/officeDocument/2006/relationships/hyperlink" Id="rId485" Target="https://doi.org/10.3390/rs13081408" TargetMode="External" /><Relationship Type="http://schemas.openxmlformats.org/officeDocument/2006/relationships/hyperlink" Id="rId319" Target="https://doi.org/10.3390/rs14020346" TargetMode="External" /><Relationship Type="http://schemas.openxmlformats.org/officeDocument/2006/relationships/hyperlink" Id="rId335" Target="https://doi.org/10.4319/lo.2003.48.1_part_2.0464" TargetMode="External" /><Relationship Type="http://schemas.openxmlformats.org/officeDocument/2006/relationships/hyperlink" Id="rId454" Target="https://doi.org/10.5281/zenodo.3463051" TargetMode="External" /><Relationship Type="http://schemas.openxmlformats.org/officeDocument/2006/relationships/hyperlink" Id="rId343" Target="https://github.com/koalaverse/vip/" TargetMode="External" /><Relationship Type="http://schemas.openxmlformats.org/officeDocument/2006/relationships/hyperlink" Id="rId381" Target="https://github.com/tidymodels/yardstick" TargetMode="External" /><Relationship Type="http://schemas.openxmlformats.org/officeDocument/2006/relationships/hyperlink" Id="rId448" Target="https://github.com/vegandevs/vegan" TargetMode="External" /><Relationship Type="http://schemas.openxmlformats.org/officeDocument/2006/relationships/hyperlink" Id="rId532" Target="https://imbs-hl.github.io/ranger/" TargetMode="External" /><Relationship Type="http://schemas.openxmlformats.org/officeDocument/2006/relationships/hyperlink" Id="rId273"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32" Target="https://rsample.tidymodels.org" TargetMode="External" /><Relationship Type="http://schemas.openxmlformats.org/officeDocument/2006/relationships/hyperlink" Id="rId492" Target="https://services.data.shom.fr/geonetwork/srv/fre/catalog.search#/metadata/BATHYMETRIE_LITTO3D_BZH_2018_2021.xml" TargetMode="External" /><Relationship Type="http://schemas.openxmlformats.org/officeDocument/2006/relationships/hyperlink" Id="rId464" Target="https://www.R-project.org/" TargetMode="External" /><Relationship Type="http://schemas.openxmlformats.org/officeDocument/2006/relationships/hyperlink" Id="rId249" Target="https://www.agisoft.com/" TargetMode="External" /><Relationship Type="http://schemas.openxmlformats.org/officeDocument/2006/relationships/hyperlink" Id="rId361" Target="https://www.ign.fr" TargetMode="External" /><Relationship Type="http://schemas.openxmlformats.org/officeDocument/2006/relationships/hyperlink" Id="rId368" Target="https://www.imo.org" TargetMode="External" /><Relationship Type="http://schemas.openxmlformats.org/officeDocument/2006/relationships/hyperlink" Id="rId364"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90" Target="https://www.shom.fr" TargetMode="External" /><Relationship Type="http://schemas.openxmlformats.org/officeDocument/2006/relationships/hyperlink" Id="rId383"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2024-12-27T23:24:41Z</dcterms:created>
  <dcterms:modified xsi:type="dcterms:W3CDTF">2024-12-27T23:24:41Z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